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E2F91" w14:textId="19B4155B" w:rsidR="00074867" w:rsidRPr="00032AD6" w:rsidRDefault="00831386" w:rsidP="00074867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074867">
        <w:rPr>
          <w:b/>
          <w:color w:val="E36C0A" w:themeColor="accent6" w:themeShade="BF"/>
          <w:sz w:val="32"/>
        </w:rPr>
        <w:t>Notice d’information</w:t>
      </w:r>
      <w:r w:rsidR="00074867" w:rsidRPr="00074867">
        <w:rPr>
          <w:b/>
          <w:color w:val="E36C0A" w:themeColor="accent6" w:themeShade="BF"/>
          <w:sz w:val="32"/>
        </w:rPr>
        <w:t xml:space="preserve"> </w:t>
      </w:r>
      <w:r w:rsidR="00074867" w:rsidRPr="00074867">
        <w:rPr>
          <w:rFonts w:ascii="Century Gothic" w:hAnsi="Century Gothic"/>
          <w:b/>
          <w:color w:val="E36C0A" w:themeColor="accent6" w:themeShade="BF"/>
          <w:sz w:val="28"/>
        </w:rPr>
        <w:t>relative aux textes conventionnels applicables</w:t>
      </w:r>
      <w:r w:rsidRPr="00074867">
        <w:rPr>
          <w:b/>
          <w:color w:val="E36C0A" w:themeColor="accent6" w:themeShade="BF"/>
          <w:sz w:val="32"/>
        </w:rPr>
        <w:t xml:space="preserve"> </w:t>
      </w:r>
      <w:r w:rsidR="00074867" w:rsidRPr="00074867">
        <w:rPr>
          <w:rStyle w:val="Appelnotedebasdep"/>
          <w:rFonts w:ascii="Century Gothic" w:hAnsi="Century Gothic"/>
          <w:b/>
          <w:color w:val="E36C0A" w:themeColor="accent6" w:themeShade="BF"/>
          <w:sz w:val="28"/>
        </w:rPr>
        <w:footnoteReference w:id="1"/>
      </w:r>
    </w:p>
    <w:p w14:paraId="6D64D3F5" w14:textId="20DCE672" w:rsidR="006D5486" w:rsidRPr="005905B3" w:rsidRDefault="006D5486" w:rsidP="00AB19D0">
      <w:pPr>
        <w:spacing w:after="0" w:line="240" w:lineRule="auto"/>
        <w:jc w:val="center"/>
        <w:rPr>
          <w:color w:val="F79646" w:themeColor="accent6"/>
        </w:rPr>
      </w:pPr>
    </w:p>
    <w:p w14:paraId="50245178" w14:textId="77777777" w:rsidR="006D5486" w:rsidRDefault="006D5486" w:rsidP="00AB19D0">
      <w:pPr>
        <w:spacing w:after="0" w:line="240" w:lineRule="auto"/>
        <w:jc w:val="both"/>
        <w:rPr>
          <w:sz w:val="6"/>
        </w:rPr>
      </w:pPr>
    </w:p>
    <w:p w14:paraId="3EF9A69B" w14:textId="32FE8AF7" w:rsidR="00B610C7" w:rsidRDefault="00B610C7" w:rsidP="00B610C7">
      <w:pPr>
        <w:spacing w:after="0"/>
        <w:jc w:val="both"/>
        <w:rPr>
          <w:rFonts w:ascii="Century Gothic" w:hAnsi="Century Gothic"/>
          <w:szCs w:val="20"/>
        </w:rPr>
      </w:pPr>
      <w:r w:rsidRPr="00074867">
        <w:rPr>
          <w:rFonts w:ascii="Century Gothic" w:hAnsi="Century Gothic"/>
          <w:szCs w:val="20"/>
        </w:rPr>
        <w:t xml:space="preserve">Vous retrouverez dans le tableau ci-dessous la liste des conventions et accords collectifs de applicables dans la branche de l'enseignement privé non lucratif </w:t>
      </w:r>
      <w:r w:rsidR="00074867">
        <w:rPr>
          <w:rFonts w:ascii="Century Gothic" w:hAnsi="Century Gothic"/>
          <w:szCs w:val="20"/>
        </w:rPr>
        <w:t xml:space="preserve">(IDCC 3218) </w:t>
      </w:r>
      <w:r w:rsidRPr="00074867">
        <w:rPr>
          <w:rFonts w:ascii="Century Gothic" w:hAnsi="Century Gothic"/>
          <w:szCs w:val="20"/>
        </w:rPr>
        <w:t xml:space="preserve">et des accords conclus au sein de notre établissement : </w:t>
      </w:r>
    </w:p>
    <w:p w14:paraId="6A25EDF6" w14:textId="77777777" w:rsidR="004F4EB1" w:rsidRPr="00074867" w:rsidRDefault="004F4EB1" w:rsidP="00B610C7">
      <w:pPr>
        <w:spacing w:after="0"/>
        <w:jc w:val="both"/>
        <w:rPr>
          <w:rFonts w:ascii="Century Gothic" w:hAnsi="Century Gothic"/>
          <w:szCs w:val="20"/>
        </w:rPr>
      </w:pPr>
    </w:p>
    <w:p w14:paraId="347670C0" w14:textId="0A796081" w:rsidR="00AB19D0" w:rsidRPr="00AB19D0" w:rsidRDefault="00AB19D0" w:rsidP="00AB19D0">
      <w:pPr>
        <w:spacing w:after="0" w:line="240" w:lineRule="auto"/>
        <w:jc w:val="both"/>
        <w:rPr>
          <w:sz w:val="20"/>
        </w:rPr>
      </w:pPr>
    </w:p>
    <w:tbl>
      <w:tblPr>
        <w:tblStyle w:val="Grilledutableau11"/>
        <w:tblW w:w="10065" w:type="dxa"/>
        <w:tblInd w:w="-14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7"/>
        <w:gridCol w:w="1986"/>
        <w:gridCol w:w="6662"/>
      </w:tblGrid>
      <w:tr w:rsidR="006D5486" w14:paraId="602A2DFB" w14:textId="77777777" w:rsidTr="00CB1B7C">
        <w:tc>
          <w:tcPr>
            <w:tcW w:w="1417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2589D671" w14:textId="77777777" w:rsidR="006D5486" w:rsidRDefault="006D5486">
            <w:pPr>
              <w:jc w:val="center"/>
              <w:rPr>
                <w:color w:val="FFFFFF"/>
                <w:sz w:val="18"/>
              </w:rPr>
            </w:pPr>
          </w:p>
        </w:tc>
        <w:tc>
          <w:tcPr>
            <w:tcW w:w="1986" w:type="dxa"/>
            <w:shd w:val="clear" w:color="auto" w:fill="F79646" w:themeFill="accent6"/>
            <w:vAlign w:val="center"/>
          </w:tcPr>
          <w:p w14:paraId="33F48159" w14:textId="77777777" w:rsidR="006D5486" w:rsidRPr="005905B3" w:rsidRDefault="00831386">
            <w:pPr>
              <w:jc w:val="center"/>
              <w:rPr>
                <w:b/>
                <w:color w:val="FFFFFF"/>
                <w:sz w:val="32"/>
              </w:rPr>
            </w:pPr>
            <w:r w:rsidRPr="005905B3">
              <w:rPr>
                <w:b/>
                <w:color w:val="FFFFFF"/>
                <w:sz w:val="32"/>
              </w:rPr>
              <w:t>Thématique</w:t>
            </w:r>
          </w:p>
        </w:tc>
        <w:tc>
          <w:tcPr>
            <w:tcW w:w="6662" w:type="dxa"/>
            <w:shd w:val="clear" w:color="auto" w:fill="F79646" w:themeFill="accent6"/>
            <w:vAlign w:val="center"/>
          </w:tcPr>
          <w:p w14:paraId="4612F412" w14:textId="77777777" w:rsidR="006D5486" w:rsidRPr="005905B3" w:rsidRDefault="00831386">
            <w:pPr>
              <w:jc w:val="center"/>
              <w:rPr>
                <w:b/>
                <w:color w:val="FFFFFF"/>
                <w:sz w:val="32"/>
              </w:rPr>
            </w:pPr>
            <w:r w:rsidRPr="005905B3">
              <w:rPr>
                <w:b/>
                <w:color w:val="FFFFFF"/>
                <w:sz w:val="32"/>
              </w:rPr>
              <w:t>Dénomination</w:t>
            </w:r>
          </w:p>
        </w:tc>
      </w:tr>
      <w:tr w:rsidR="00AB19D0" w:rsidRPr="005905B3" w14:paraId="1CC1E915" w14:textId="77777777" w:rsidTr="00CB1B7C">
        <w:tc>
          <w:tcPr>
            <w:tcW w:w="1417" w:type="dxa"/>
            <w:vMerge w:val="restart"/>
            <w:vAlign w:val="center"/>
          </w:tcPr>
          <w:p w14:paraId="695F3328" w14:textId="77777777" w:rsidR="00AB19D0" w:rsidRDefault="00AB19D0" w:rsidP="00693F86">
            <w:pPr>
              <w:jc w:val="center"/>
              <w:rPr>
                <w:rFonts w:ascii="Arial Narrow" w:hAnsi="Arial Narrow" w:cs="Arial"/>
                <w:b/>
              </w:rPr>
            </w:pPr>
            <w:r w:rsidRPr="005905B3">
              <w:rPr>
                <w:rFonts w:ascii="Arial Narrow" w:hAnsi="Arial Narrow" w:cs="Arial"/>
                <w:b/>
              </w:rPr>
              <w:t xml:space="preserve">Branche </w:t>
            </w:r>
            <w:r w:rsidR="009840F8">
              <w:rPr>
                <w:rFonts w:ascii="Arial Narrow" w:hAnsi="Arial Narrow" w:cs="Arial"/>
                <w:b/>
              </w:rPr>
              <w:t>EPNL</w:t>
            </w:r>
          </w:p>
          <w:p w14:paraId="4D32CF0C" w14:textId="042884C9" w:rsidR="009840F8" w:rsidRPr="005905B3" w:rsidRDefault="009840F8" w:rsidP="00693F8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IDCC 3218</w:t>
            </w:r>
          </w:p>
        </w:tc>
        <w:tc>
          <w:tcPr>
            <w:tcW w:w="1986" w:type="dxa"/>
            <w:vAlign w:val="center"/>
          </w:tcPr>
          <w:p w14:paraId="313DE989" w14:textId="2D0DD5D9" w:rsidR="00AB19D0" w:rsidRPr="005905B3" w:rsidRDefault="005905B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Convention C</w:t>
            </w:r>
            <w:r w:rsidR="00AB19D0" w:rsidRPr="005905B3">
              <w:rPr>
                <w:rFonts w:ascii="Arial Narrow" w:hAnsi="Arial Narrow" w:cs="Arial"/>
                <w:b/>
              </w:rPr>
              <w:t>ollective</w:t>
            </w:r>
            <w:r w:rsidRPr="005905B3">
              <w:rPr>
                <w:rFonts w:ascii="Arial Narrow" w:hAnsi="Arial Narrow" w:cs="Arial"/>
                <w:b/>
              </w:rPr>
              <w:t xml:space="preserve"> EPNL</w:t>
            </w:r>
          </w:p>
        </w:tc>
        <w:bookmarkStart w:id="0" w:name="_Hlk479242276"/>
        <w:tc>
          <w:tcPr>
            <w:tcW w:w="6662" w:type="dxa"/>
            <w:vAlign w:val="center"/>
          </w:tcPr>
          <w:p w14:paraId="37605E6D" w14:textId="17139C3C" w:rsidR="00AB19D0" w:rsidRDefault="009C617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/>
            </w:r>
            <w:r w:rsidR="00764598">
              <w:rPr>
                <w:rFonts w:ascii="Arial Narrow" w:hAnsi="Arial Narrow" w:cs="Arial"/>
              </w:rPr>
              <w:instrText>HYPERLINK "https://infos.isidoor.org/wp-content/uploads/2022.04.11-CC-EPNL-consolidee-fevrier-2023-1-1.pdf"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AB19D0" w:rsidRPr="009C6179">
              <w:rPr>
                <w:rStyle w:val="Lienhypertexte"/>
                <w:rFonts w:ascii="Arial Narrow" w:hAnsi="Arial Narrow" w:cs="Arial"/>
              </w:rPr>
              <w:t>Convention Collective de l’enseignement privé non lucratif du 11 avril 2022</w:t>
            </w:r>
            <w:r>
              <w:rPr>
                <w:rFonts w:ascii="Arial Narrow" w:hAnsi="Arial Narrow" w:cs="Arial"/>
              </w:rPr>
              <w:fldChar w:fldCharType="end"/>
            </w:r>
            <w:r w:rsidR="00AB19D0" w:rsidRPr="005905B3">
              <w:rPr>
                <w:rFonts w:ascii="Arial Narrow" w:hAnsi="Arial Narrow" w:cs="Arial"/>
              </w:rPr>
              <w:t xml:space="preserve"> IDCC n°3218 (CCEPNL)</w:t>
            </w:r>
            <w:bookmarkEnd w:id="0"/>
            <w:r w:rsidR="005905B3">
              <w:rPr>
                <w:rFonts w:ascii="Arial Narrow" w:hAnsi="Arial Narrow" w:cs="Arial"/>
              </w:rPr>
              <w:t xml:space="preserve"> applicable </w:t>
            </w:r>
            <w:r w:rsidR="000F64AA">
              <w:rPr>
                <w:rFonts w:ascii="Arial Narrow" w:hAnsi="Arial Narrow" w:cs="Arial"/>
              </w:rPr>
              <w:t xml:space="preserve">depuis le </w:t>
            </w:r>
            <w:r w:rsidR="005905B3">
              <w:rPr>
                <w:rFonts w:ascii="Arial Narrow" w:hAnsi="Arial Narrow" w:cs="Arial"/>
              </w:rPr>
              <w:t>1</w:t>
            </w:r>
            <w:r w:rsidR="005905B3" w:rsidRPr="005905B3">
              <w:rPr>
                <w:rFonts w:ascii="Arial Narrow" w:hAnsi="Arial Narrow" w:cs="Arial"/>
                <w:vertAlign w:val="superscript"/>
              </w:rPr>
              <w:t>er</w:t>
            </w:r>
            <w:r w:rsidR="005905B3">
              <w:rPr>
                <w:rFonts w:ascii="Arial Narrow" w:hAnsi="Arial Narrow" w:cs="Arial"/>
              </w:rPr>
              <w:t xml:space="preserve"> septembre 2022</w:t>
            </w:r>
            <w:r w:rsidR="006429A5">
              <w:rPr>
                <w:rFonts w:ascii="Arial Narrow" w:hAnsi="Arial Narrow" w:cs="Arial"/>
              </w:rPr>
              <w:t>.</w:t>
            </w:r>
          </w:p>
          <w:p w14:paraId="5F9E7477" w14:textId="55E707BB" w:rsidR="00BE6702" w:rsidRPr="00BE6702" w:rsidRDefault="00000000" w:rsidP="00BE6702">
            <w:pPr>
              <w:numPr>
                <w:ilvl w:val="0"/>
                <w:numId w:val="21"/>
              </w:numPr>
              <w:ind w:left="174" w:hanging="142"/>
              <w:rPr>
                <w:rFonts w:ascii="Arial Narrow" w:hAnsi="Arial Narrow"/>
                <w:szCs w:val="16"/>
              </w:rPr>
            </w:pPr>
            <w:hyperlink r:id="rId10" w:history="1">
              <w:r w:rsidR="00BE6702" w:rsidRPr="008604CC">
                <w:rPr>
                  <w:rStyle w:val="Lienhypertexte"/>
                  <w:rFonts w:ascii="Arial Narrow" w:hAnsi="Arial Narrow"/>
                  <w:szCs w:val="16"/>
                </w:rPr>
                <w:t>Avenant n°2023-02 du 10 novembre 2023</w:t>
              </w:r>
            </w:hyperlink>
            <w:r w:rsidR="00BE6702" w:rsidRPr="00BE6702">
              <w:rPr>
                <w:rFonts w:ascii="Arial Narrow" w:hAnsi="Arial Narrow"/>
                <w:szCs w:val="16"/>
              </w:rPr>
              <w:t xml:space="preserve"> sur le télétravail</w:t>
            </w:r>
          </w:p>
          <w:p w14:paraId="1E504A4F" w14:textId="70572E55" w:rsidR="00BE6702" w:rsidRPr="00BE6702" w:rsidRDefault="00000000" w:rsidP="00BE6702">
            <w:pPr>
              <w:numPr>
                <w:ilvl w:val="0"/>
                <w:numId w:val="21"/>
              </w:numPr>
              <w:ind w:left="174" w:hanging="142"/>
              <w:rPr>
                <w:rFonts w:ascii="Arial Narrow" w:hAnsi="Arial Narrow"/>
                <w:szCs w:val="16"/>
              </w:rPr>
            </w:pPr>
            <w:hyperlink r:id="rId11" w:history="1">
              <w:r w:rsidR="00BE6702" w:rsidRPr="008604CC">
                <w:rPr>
                  <w:rStyle w:val="Lienhypertexte"/>
                  <w:rFonts w:ascii="Arial Narrow" w:hAnsi="Arial Narrow"/>
                  <w:szCs w:val="16"/>
                </w:rPr>
                <w:t>Avenant n° 2022-08 du 12 décembre 2022</w:t>
              </w:r>
            </w:hyperlink>
            <w:r w:rsidR="00BE6702" w:rsidRPr="00BE6702">
              <w:rPr>
                <w:rFonts w:ascii="Arial Narrow" w:hAnsi="Arial Narrow"/>
                <w:szCs w:val="16"/>
              </w:rPr>
              <w:t xml:space="preserve"> relatif au droit à la déconnexion</w:t>
            </w:r>
          </w:p>
          <w:p w14:paraId="03B0DAC1" w14:textId="39E408C2" w:rsidR="00BE6702" w:rsidRDefault="00000000" w:rsidP="00BE6702">
            <w:pPr>
              <w:numPr>
                <w:ilvl w:val="0"/>
                <w:numId w:val="21"/>
              </w:numPr>
              <w:ind w:left="174" w:hanging="142"/>
              <w:rPr>
                <w:rFonts w:ascii="Arial Narrow" w:hAnsi="Arial Narrow"/>
                <w:szCs w:val="16"/>
              </w:rPr>
            </w:pPr>
            <w:hyperlink r:id="rId12" w:history="1">
              <w:r w:rsidR="00BE6702" w:rsidRPr="00AF120C">
                <w:rPr>
                  <w:rStyle w:val="Lienhypertexte"/>
                  <w:rFonts w:ascii="Arial Narrow" w:hAnsi="Arial Narrow"/>
                  <w:szCs w:val="16"/>
                  <w:lang w:eastAsia="fr-FR"/>
                </w:rPr>
                <w:t>Avenant n° 2022-06 du 12 décembre 2022</w:t>
              </w:r>
            </w:hyperlink>
            <w:r w:rsidR="00BE6702" w:rsidRPr="00BE6702">
              <w:rPr>
                <w:rFonts w:ascii="Arial Narrow" w:hAnsi="Arial Narrow"/>
                <w:szCs w:val="16"/>
              </w:rPr>
              <w:t xml:space="preserve"> relatif au travail de nuit, au temps de travail et aux congés (correctif)</w:t>
            </w:r>
          </w:p>
          <w:p w14:paraId="6F93632D" w14:textId="7E596B9B" w:rsidR="00BE6702" w:rsidRDefault="00000000" w:rsidP="00BE6702">
            <w:pPr>
              <w:numPr>
                <w:ilvl w:val="0"/>
                <w:numId w:val="21"/>
              </w:numPr>
              <w:ind w:left="174" w:hanging="142"/>
              <w:rPr>
                <w:rFonts w:ascii="Arial Narrow" w:hAnsi="Arial Narrow"/>
                <w:szCs w:val="16"/>
              </w:rPr>
            </w:pPr>
            <w:hyperlink r:id="rId13" w:history="1">
              <w:r w:rsidR="006429A5" w:rsidRPr="00BE6702">
                <w:rPr>
                  <w:rStyle w:val="Lienhypertexte"/>
                  <w:rFonts w:ascii="Arial Narrow" w:hAnsi="Arial Narrow" w:cs="Arial"/>
                </w:rPr>
                <w:t>Avenant n°2022-4 du 15 septembre 2022</w:t>
              </w:r>
            </w:hyperlink>
            <w:r w:rsidR="006429A5" w:rsidRPr="00BE6702">
              <w:rPr>
                <w:rFonts w:ascii="Arial Narrow" w:hAnsi="Arial Narrow" w:cs="Arial"/>
              </w:rPr>
              <w:t xml:space="preserve"> sur le paritarisme et droit syndical </w:t>
            </w:r>
          </w:p>
          <w:p w14:paraId="2F34EF02" w14:textId="46C27BFC" w:rsidR="008F6D26" w:rsidRPr="00BE6702" w:rsidRDefault="00000000" w:rsidP="6893B1D5">
            <w:pPr>
              <w:numPr>
                <w:ilvl w:val="0"/>
                <w:numId w:val="21"/>
              </w:numPr>
              <w:ind w:left="174" w:hanging="142"/>
              <w:rPr>
                <w:rFonts w:ascii="Arial Narrow" w:hAnsi="Arial Narrow"/>
              </w:rPr>
            </w:pPr>
            <w:hyperlink r:id="rId14">
              <w:r w:rsidR="008F6D26" w:rsidRPr="6893B1D5">
                <w:rPr>
                  <w:rStyle w:val="Lienhypertexte"/>
                  <w:rFonts w:ascii="Arial Narrow" w:hAnsi="Arial Narrow" w:cs="Arial"/>
                </w:rPr>
                <w:t>Recueil des interprétation de la CPPNI EPNL</w:t>
              </w:r>
            </w:hyperlink>
            <w:r w:rsidR="008F6D26" w:rsidRPr="6893B1D5">
              <w:rPr>
                <w:rFonts w:ascii="Arial Narrow" w:hAnsi="Arial Narrow" w:cs="Arial"/>
              </w:rPr>
              <w:t xml:space="preserve"> au 1</w:t>
            </w:r>
            <w:r w:rsidR="008F6D26" w:rsidRPr="6893B1D5">
              <w:rPr>
                <w:rFonts w:ascii="Arial Narrow" w:hAnsi="Arial Narrow" w:cs="Arial"/>
                <w:vertAlign w:val="superscript"/>
              </w:rPr>
              <w:t>er</w:t>
            </w:r>
            <w:r w:rsidR="008F6D26" w:rsidRPr="6893B1D5">
              <w:rPr>
                <w:rFonts w:ascii="Arial Narrow" w:hAnsi="Arial Narrow" w:cs="Arial"/>
              </w:rPr>
              <w:t xml:space="preserve"> septembre 2022 </w:t>
            </w:r>
          </w:p>
        </w:tc>
      </w:tr>
      <w:tr w:rsidR="00AB19D0" w:rsidRPr="005905B3" w14:paraId="06814FE7" w14:textId="77777777" w:rsidTr="00CB1B7C">
        <w:tc>
          <w:tcPr>
            <w:tcW w:w="1417" w:type="dxa"/>
            <w:vMerge/>
          </w:tcPr>
          <w:p w14:paraId="56179DCC" w14:textId="77777777" w:rsidR="00AB19D0" w:rsidRPr="005905B3" w:rsidRDefault="00AB19D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86" w:type="dxa"/>
            <w:vMerge w:val="restart"/>
            <w:vAlign w:val="center"/>
          </w:tcPr>
          <w:p w14:paraId="630D8CC6" w14:textId="77777777" w:rsidR="00AB19D0" w:rsidRPr="005905B3" w:rsidRDefault="00AB19D0">
            <w:pPr>
              <w:rPr>
                <w:rFonts w:ascii="Arial Narrow" w:hAnsi="Arial Narrow" w:cs="Arial"/>
                <w:b/>
              </w:rPr>
            </w:pPr>
            <w:r w:rsidRPr="005905B3">
              <w:rPr>
                <w:rFonts w:ascii="Arial Narrow" w:hAnsi="Arial Narrow" w:cs="Arial"/>
                <w:b/>
              </w:rPr>
              <w:t>Durée du travail</w:t>
            </w:r>
          </w:p>
        </w:tc>
        <w:tc>
          <w:tcPr>
            <w:tcW w:w="6662" w:type="dxa"/>
            <w:vAlign w:val="center"/>
          </w:tcPr>
          <w:p w14:paraId="19DE76D4" w14:textId="435D8EA2" w:rsidR="00AB19D0" w:rsidRPr="005905B3" w:rsidRDefault="00000000">
            <w:pPr>
              <w:rPr>
                <w:rFonts w:ascii="Arial Narrow" w:hAnsi="Arial Narrow" w:cs="Arial"/>
              </w:rPr>
            </w:pPr>
            <w:hyperlink r:id="rId15" w:history="1">
              <w:r w:rsidR="00AB19D0" w:rsidRPr="009C6179">
                <w:rPr>
                  <w:rStyle w:val="Lienhypertexte"/>
                  <w:rFonts w:ascii="Arial Narrow" w:hAnsi="Arial Narrow" w:cs="Arial"/>
                </w:rPr>
                <w:t>Accord de branche relatif au travail de nuit</w:t>
              </w:r>
            </w:hyperlink>
            <w:r w:rsidR="00AB19D0" w:rsidRPr="005905B3">
              <w:rPr>
                <w:rFonts w:ascii="Arial Narrow" w:hAnsi="Arial Narrow" w:cs="Arial"/>
              </w:rPr>
              <w:t xml:space="preserve"> dans l’enseignement privé sous contrat du 2 juillet 2002 révisé le 31 janvier 2007</w:t>
            </w:r>
            <w:r w:rsidR="009F7C48">
              <w:rPr>
                <w:rFonts w:ascii="Arial Narrow" w:hAnsi="Arial Narrow" w:cs="Arial"/>
              </w:rPr>
              <w:t xml:space="preserve"> (étendu)</w:t>
            </w:r>
          </w:p>
        </w:tc>
      </w:tr>
      <w:tr w:rsidR="00AB19D0" w:rsidRPr="005905B3" w14:paraId="112E9519" w14:textId="77777777" w:rsidTr="00CB1B7C">
        <w:trPr>
          <w:trHeight w:val="95"/>
        </w:trPr>
        <w:tc>
          <w:tcPr>
            <w:tcW w:w="1417" w:type="dxa"/>
            <w:vMerge/>
          </w:tcPr>
          <w:p w14:paraId="29E2FCD4" w14:textId="77777777" w:rsidR="00AB19D0" w:rsidRPr="005905B3" w:rsidRDefault="00AB19D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86" w:type="dxa"/>
            <w:vMerge/>
            <w:vAlign w:val="center"/>
          </w:tcPr>
          <w:p w14:paraId="040A156E" w14:textId="77777777" w:rsidR="00AB19D0" w:rsidRPr="005905B3" w:rsidRDefault="00AB19D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662" w:type="dxa"/>
            <w:vAlign w:val="center"/>
          </w:tcPr>
          <w:p w14:paraId="11E4CA39" w14:textId="52EABC8C" w:rsidR="00AB19D0" w:rsidRPr="005905B3" w:rsidRDefault="00000000">
            <w:pPr>
              <w:rPr>
                <w:rFonts w:ascii="Arial Narrow" w:hAnsi="Arial Narrow" w:cs="Arial"/>
                <w:b/>
                <w:color w:val="1F497D"/>
              </w:rPr>
            </w:pPr>
            <w:hyperlink r:id="rId16" w:history="1">
              <w:r w:rsidR="00AB19D0" w:rsidRPr="009C6179">
                <w:rPr>
                  <w:rStyle w:val="Lienhypertexte"/>
                  <w:rFonts w:ascii="Arial Narrow" w:hAnsi="Arial Narrow" w:cs="Arial"/>
                </w:rPr>
                <w:t>Accord sur les équivalences de nuit</w:t>
              </w:r>
            </w:hyperlink>
            <w:r w:rsidR="00AB19D0" w:rsidRPr="005905B3">
              <w:rPr>
                <w:rFonts w:ascii="Arial Narrow" w:hAnsi="Arial Narrow" w:cs="Arial"/>
              </w:rPr>
              <w:t xml:space="preserve"> dans l’enseignement privé sous contrat du 31 janvier 2007</w:t>
            </w:r>
            <w:r w:rsidR="009F7C48">
              <w:rPr>
                <w:rFonts w:ascii="Arial Narrow" w:hAnsi="Arial Narrow" w:cs="Arial"/>
              </w:rPr>
              <w:t xml:space="preserve"> (étendu)</w:t>
            </w:r>
          </w:p>
        </w:tc>
      </w:tr>
      <w:tr w:rsidR="00AB19D0" w:rsidRPr="005905B3" w14:paraId="0153ED2F" w14:textId="77777777" w:rsidTr="00CB1B7C">
        <w:trPr>
          <w:trHeight w:val="372"/>
        </w:trPr>
        <w:tc>
          <w:tcPr>
            <w:tcW w:w="1417" w:type="dxa"/>
            <w:vMerge/>
          </w:tcPr>
          <w:p w14:paraId="4715FF13" w14:textId="77777777" w:rsidR="00AB19D0" w:rsidRPr="005905B3" w:rsidRDefault="00AB19D0" w:rsidP="00831386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86" w:type="dxa"/>
            <w:vAlign w:val="center"/>
          </w:tcPr>
          <w:p w14:paraId="31E75B23" w14:textId="4C3401FB" w:rsidR="00AB19D0" w:rsidRPr="005905B3" w:rsidRDefault="00AB19D0">
            <w:pPr>
              <w:rPr>
                <w:rFonts w:ascii="Arial Narrow" w:hAnsi="Arial Narrow" w:cs="Arial"/>
                <w:b/>
              </w:rPr>
            </w:pPr>
            <w:r w:rsidRPr="005905B3">
              <w:rPr>
                <w:rFonts w:ascii="Arial Narrow" w:hAnsi="Arial Narrow" w:cs="Arial"/>
                <w:b/>
              </w:rPr>
              <w:t>Rémunération</w:t>
            </w:r>
            <w:r w:rsidR="005905B3" w:rsidRPr="005905B3">
              <w:rPr>
                <w:rFonts w:ascii="Arial Narrow" w:hAnsi="Arial Narrow" w:cs="Arial"/>
                <w:b/>
              </w:rPr>
              <w:t>s</w:t>
            </w:r>
          </w:p>
        </w:tc>
        <w:tc>
          <w:tcPr>
            <w:tcW w:w="6662" w:type="dxa"/>
            <w:vAlign w:val="center"/>
          </w:tcPr>
          <w:p w14:paraId="40828540" w14:textId="6BED550F" w:rsidR="00CB1B7C" w:rsidRPr="00CB1B7C" w:rsidRDefault="00CB1B7C" w:rsidP="00BE6702">
            <w:pPr>
              <w:numPr>
                <w:ilvl w:val="0"/>
                <w:numId w:val="21"/>
              </w:numPr>
              <w:ind w:left="174" w:hanging="142"/>
              <w:jc w:val="both"/>
              <w:rPr>
                <w:rFonts w:ascii="Arial Narrow" w:hAnsi="Arial Narrow"/>
                <w:color w:val="FF0000"/>
                <w:szCs w:val="16"/>
                <w:highlight w:val="yellow"/>
              </w:rPr>
            </w:pPr>
            <w:r w:rsidRPr="00CB1B7C">
              <w:rPr>
                <w:rFonts w:ascii="Arial Narrow" w:hAnsi="Arial Narrow"/>
                <w:color w:val="FF0000"/>
                <w:szCs w:val="16"/>
                <w:highlight w:val="yellow"/>
              </w:rPr>
              <w:t>Décision unilat</w:t>
            </w:r>
            <w:r>
              <w:rPr>
                <w:rFonts w:ascii="Arial Narrow" w:hAnsi="Arial Narrow"/>
                <w:color w:val="FF0000"/>
                <w:szCs w:val="16"/>
                <w:highlight w:val="yellow"/>
              </w:rPr>
              <w:t>é</w:t>
            </w:r>
            <w:r w:rsidRPr="00CB1B7C">
              <w:rPr>
                <w:rFonts w:ascii="Arial Narrow" w:hAnsi="Arial Narrow"/>
                <w:color w:val="FF0000"/>
                <w:szCs w:val="16"/>
                <w:highlight w:val="yellow"/>
              </w:rPr>
              <w:t>rale du  XXXXX</w:t>
            </w:r>
          </w:p>
          <w:p w14:paraId="3DE829D4" w14:textId="5338AE46" w:rsidR="00BE6702" w:rsidRDefault="00000000" w:rsidP="00BE6702">
            <w:pPr>
              <w:numPr>
                <w:ilvl w:val="0"/>
                <w:numId w:val="21"/>
              </w:numPr>
              <w:ind w:left="174" w:hanging="142"/>
              <w:jc w:val="both"/>
              <w:rPr>
                <w:rFonts w:ascii="Arial Narrow" w:hAnsi="Arial Narrow"/>
                <w:szCs w:val="16"/>
              </w:rPr>
            </w:pPr>
            <w:hyperlink r:id="rId17" w:history="1">
              <w:r w:rsidR="00BE6702" w:rsidRPr="008604CC">
                <w:rPr>
                  <w:rStyle w:val="Lienhypertexte"/>
                  <w:rFonts w:ascii="Arial Narrow" w:hAnsi="Arial Narrow"/>
                  <w:szCs w:val="16"/>
                </w:rPr>
                <w:t>Avenant n° 2023-1 du 12 avril 2023</w:t>
              </w:r>
            </w:hyperlink>
            <w:r w:rsidR="00BE6702" w:rsidRPr="00BE6702">
              <w:rPr>
                <w:rFonts w:ascii="Arial Narrow" w:hAnsi="Arial Narrow"/>
                <w:szCs w:val="16"/>
              </w:rPr>
              <w:t xml:space="preserve"> relatif à la négociation annuelle obligatoire sur les salaires</w:t>
            </w:r>
          </w:p>
          <w:p w14:paraId="193020CB" w14:textId="4431164C" w:rsidR="00BE6702" w:rsidRPr="00624D1B" w:rsidRDefault="00624D1B" w:rsidP="00BE6702">
            <w:pPr>
              <w:numPr>
                <w:ilvl w:val="0"/>
                <w:numId w:val="21"/>
              </w:numPr>
              <w:ind w:left="174" w:hanging="142"/>
              <w:jc w:val="both"/>
              <w:rPr>
                <w:rStyle w:val="Lienhypertexte"/>
                <w:rFonts w:ascii="Arial Narrow" w:hAnsi="Arial Narrow"/>
                <w:szCs w:val="16"/>
              </w:rPr>
            </w:pPr>
            <w:r>
              <w:rPr>
                <w:rFonts w:ascii="Arial Narrow" w:hAnsi="Arial Narrow" w:cs="Arial"/>
                <w:shd w:val="clear" w:color="auto" w:fill="FFFFFF"/>
              </w:rPr>
              <w:fldChar w:fldCharType="begin"/>
            </w:r>
            <w:r>
              <w:rPr>
                <w:rFonts w:ascii="Arial Narrow" w:hAnsi="Arial Narrow" w:cs="Arial"/>
                <w:shd w:val="clear" w:color="auto" w:fill="FFFFFF"/>
              </w:rPr>
              <w:instrText xml:space="preserve"> HYPERLINK "https://www.legifrance.gouv.fr/conv_coll/id/KALITEXT000046366564/?idConteneur=KALICONT000043874879&amp;origin=list" </w:instrText>
            </w:r>
            <w:r>
              <w:rPr>
                <w:rFonts w:ascii="Arial Narrow" w:hAnsi="Arial Narrow" w:cs="Arial"/>
                <w:shd w:val="clear" w:color="auto" w:fill="FFFFFF"/>
              </w:rPr>
            </w:r>
            <w:r>
              <w:rPr>
                <w:rFonts w:ascii="Arial Narrow" w:hAnsi="Arial Narrow" w:cs="Arial"/>
                <w:shd w:val="clear" w:color="auto" w:fill="FFFFFF"/>
              </w:rPr>
              <w:fldChar w:fldCharType="separate"/>
            </w:r>
            <w:r w:rsidR="00D72776" w:rsidRPr="00624D1B">
              <w:rPr>
                <w:rStyle w:val="Lienhypertexte"/>
                <w:rFonts w:ascii="Arial Narrow" w:hAnsi="Arial Narrow" w:cs="Arial"/>
                <w:shd w:val="clear" w:color="auto" w:fill="FFFFFF"/>
              </w:rPr>
              <w:t>Accord n°2022-1</w:t>
            </w:r>
            <w:r w:rsidR="00831386" w:rsidRPr="00624D1B">
              <w:rPr>
                <w:rStyle w:val="Lienhypertexte"/>
                <w:rFonts w:ascii="Arial Narrow" w:hAnsi="Arial Narrow" w:cs="Arial"/>
                <w:shd w:val="clear" w:color="auto" w:fill="FFFFFF"/>
              </w:rPr>
              <w:t xml:space="preserve"> </w:t>
            </w:r>
            <w:r w:rsidR="00D72776" w:rsidRPr="00624D1B">
              <w:rPr>
                <w:rStyle w:val="Lienhypertexte"/>
                <w:rFonts w:ascii="Arial Narrow" w:hAnsi="Arial Narrow" w:cs="Arial"/>
                <w:shd w:val="clear" w:color="auto" w:fill="FFFFFF"/>
              </w:rPr>
              <w:t>du</w:t>
            </w:r>
            <w:r w:rsidR="00831386" w:rsidRPr="00624D1B">
              <w:rPr>
                <w:rStyle w:val="Lienhypertexte"/>
                <w:rFonts w:ascii="Arial Narrow" w:hAnsi="Arial Narrow" w:cs="Arial"/>
                <w:shd w:val="clear" w:color="auto" w:fill="FFFFFF"/>
              </w:rPr>
              <w:t xml:space="preserve"> </w:t>
            </w:r>
            <w:r w:rsidR="00D72776" w:rsidRPr="00624D1B">
              <w:rPr>
                <w:rStyle w:val="Lienhypertexte"/>
                <w:rFonts w:ascii="Arial Narrow" w:hAnsi="Arial Narrow" w:cs="Arial"/>
                <w:shd w:val="clear" w:color="auto" w:fill="FFFFFF"/>
              </w:rPr>
              <w:t>1</w:t>
            </w:r>
            <w:r w:rsidR="00D72776" w:rsidRPr="00624D1B">
              <w:rPr>
                <w:rStyle w:val="Lienhypertexte"/>
                <w:rFonts w:ascii="Arial Narrow" w:hAnsi="Arial Narrow" w:cs="Arial"/>
                <w:shd w:val="clear" w:color="auto" w:fill="FFFFFF"/>
                <w:vertAlign w:val="superscript"/>
              </w:rPr>
              <w:t>er</w:t>
            </w:r>
            <w:r w:rsidR="00831386" w:rsidRPr="00624D1B">
              <w:rPr>
                <w:rStyle w:val="Lienhypertexte"/>
                <w:rFonts w:ascii="Arial Narrow" w:hAnsi="Arial Narrow" w:cs="Arial"/>
                <w:shd w:val="clear" w:color="auto" w:fill="FFFFFF"/>
              </w:rPr>
              <w:t xml:space="preserve"> </w:t>
            </w:r>
            <w:r w:rsidR="00D72776" w:rsidRPr="00624D1B">
              <w:rPr>
                <w:rStyle w:val="Lienhypertexte"/>
                <w:rFonts w:ascii="Arial Narrow" w:hAnsi="Arial Narrow" w:cs="Arial"/>
                <w:shd w:val="clear" w:color="auto" w:fill="FFFFFF"/>
              </w:rPr>
              <w:t>avril 2022</w:t>
            </w:r>
            <w:r w:rsidR="00831386" w:rsidRPr="00624D1B">
              <w:rPr>
                <w:rStyle w:val="Lienhypertexte"/>
                <w:rFonts w:ascii="Arial Narrow" w:hAnsi="Arial Narrow" w:cs="Arial"/>
                <w:shd w:val="clear" w:color="auto" w:fill="FFFFFF"/>
              </w:rPr>
              <w:t xml:space="preserve"> - </w:t>
            </w:r>
            <w:r w:rsidR="00D72776" w:rsidRPr="00624D1B">
              <w:rPr>
                <w:rStyle w:val="Lienhypertexte"/>
                <w:rFonts w:ascii="Arial Narrow" w:hAnsi="Arial Narrow" w:cs="Arial"/>
                <w:shd w:val="clear" w:color="auto" w:fill="FFFFFF"/>
              </w:rPr>
              <w:t>NAO 2022</w:t>
            </w:r>
          </w:p>
          <w:p w14:paraId="6DD5341D" w14:textId="2108B155" w:rsidR="00BE6702" w:rsidRDefault="00624D1B" w:rsidP="00BE6702">
            <w:pPr>
              <w:numPr>
                <w:ilvl w:val="0"/>
                <w:numId w:val="21"/>
              </w:numPr>
              <w:ind w:left="174" w:hanging="142"/>
              <w:jc w:val="both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 w:cs="Arial"/>
                <w:shd w:val="clear" w:color="auto" w:fill="FFFFFF"/>
              </w:rPr>
              <w:fldChar w:fldCharType="end"/>
            </w:r>
            <w:hyperlink r:id="rId18" w:history="1">
              <w:r w:rsidR="00D72776" w:rsidRPr="00624D1B">
                <w:rPr>
                  <w:rStyle w:val="Lienhypertexte"/>
                  <w:rFonts w:ascii="Arial Narrow" w:hAnsi="Arial Narrow" w:cs="Arial"/>
                  <w:shd w:val="clear" w:color="auto" w:fill="FFFFFF"/>
                </w:rPr>
                <w:t>Accord n°2022-3 du 13 mai 2022</w:t>
              </w:r>
            </w:hyperlink>
            <w:r w:rsidR="00D72776" w:rsidRPr="00BE6702">
              <w:rPr>
                <w:rFonts w:ascii="Arial Narrow" w:hAnsi="Arial Narrow" w:cs="Arial"/>
                <w:shd w:val="clear" w:color="auto" w:fill="FFFFFF"/>
              </w:rPr>
              <w:t xml:space="preserve"> sur les effets de l’augmentation du SMIC au 1</w:t>
            </w:r>
            <w:r w:rsidR="00D72776" w:rsidRPr="00BE6702">
              <w:rPr>
                <w:rFonts w:ascii="Arial Narrow" w:hAnsi="Arial Narrow" w:cs="Arial"/>
                <w:shd w:val="clear" w:color="auto" w:fill="FFFFFF"/>
                <w:vertAlign w:val="superscript"/>
              </w:rPr>
              <w:t>er</w:t>
            </w:r>
            <w:r w:rsidR="00D72776" w:rsidRPr="00BE6702">
              <w:rPr>
                <w:rFonts w:ascii="Arial Narrow" w:hAnsi="Arial Narrow" w:cs="Arial"/>
                <w:shd w:val="clear" w:color="auto" w:fill="FFFFFF"/>
              </w:rPr>
              <w:t xml:space="preserve"> mai</w:t>
            </w:r>
            <w:r w:rsidR="00792470" w:rsidRPr="00BE6702">
              <w:rPr>
                <w:rFonts w:ascii="Arial Narrow" w:hAnsi="Arial Narrow" w:cs="Arial"/>
                <w:shd w:val="clear" w:color="auto" w:fill="FFFFFF"/>
              </w:rPr>
              <w:t xml:space="preserve"> 2022</w:t>
            </w:r>
          </w:p>
          <w:p w14:paraId="13A02263" w14:textId="1A80D52E" w:rsidR="006429A5" w:rsidRPr="00BE6702" w:rsidRDefault="00000000" w:rsidP="008604CC">
            <w:pPr>
              <w:numPr>
                <w:ilvl w:val="0"/>
                <w:numId w:val="21"/>
              </w:numPr>
              <w:ind w:left="174" w:hanging="142"/>
              <w:jc w:val="both"/>
              <w:rPr>
                <w:rFonts w:ascii="Arial Narrow" w:hAnsi="Arial Narrow"/>
                <w:szCs w:val="16"/>
              </w:rPr>
            </w:pPr>
            <w:hyperlink r:id="rId19" w:history="1">
              <w:r w:rsidR="006429A5" w:rsidRPr="008604CC">
                <w:rPr>
                  <w:rStyle w:val="Lienhypertexte"/>
                  <w:rFonts w:ascii="Arial Narrow" w:hAnsi="Arial Narrow" w:cs="Arial"/>
                  <w:shd w:val="clear" w:color="auto" w:fill="FFFFFF"/>
                </w:rPr>
                <w:t xml:space="preserve">Accord n°2022-5 du 15 </w:t>
              </w:r>
              <w:r w:rsidR="008604CC" w:rsidRPr="008604CC">
                <w:rPr>
                  <w:rStyle w:val="Lienhypertexte"/>
                  <w:rFonts w:ascii="Arial Narrow" w:hAnsi="Arial Narrow" w:cs="Arial"/>
                  <w:shd w:val="clear" w:color="auto" w:fill="FFFFFF"/>
                </w:rPr>
                <w:t>septembre</w:t>
              </w:r>
              <w:r w:rsidR="006429A5" w:rsidRPr="008604CC">
                <w:rPr>
                  <w:rStyle w:val="Lienhypertexte"/>
                  <w:rFonts w:ascii="Arial Narrow" w:hAnsi="Arial Narrow" w:cs="Arial"/>
                  <w:shd w:val="clear" w:color="auto" w:fill="FFFFFF"/>
                </w:rPr>
                <w:t xml:space="preserve"> 2022</w:t>
              </w:r>
            </w:hyperlink>
            <w:r w:rsidR="006429A5" w:rsidRPr="00BE6702">
              <w:rPr>
                <w:rFonts w:ascii="Arial Narrow" w:hAnsi="Arial Narrow" w:cs="Arial"/>
                <w:shd w:val="clear" w:color="auto" w:fill="FFFFFF"/>
              </w:rPr>
              <w:t xml:space="preserve"> sur les effets de l’inflation et augmentation SMIC du 1</w:t>
            </w:r>
            <w:r w:rsidR="006429A5" w:rsidRPr="00BE6702">
              <w:rPr>
                <w:rFonts w:ascii="Arial Narrow" w:hAnsi="Arial Narrow" w:cs="Arial"/>
                <w:shd w:val="clear" w:color="auto" w:fill="FFFFFF"/>
                <w:vertAlign w:val="superscript"/>
              </w:rPr>
              <w:t>er</w:t>
            </w:r>
            <w:r w:rsidR="006429A5" w:rsidRPr="00BE6702">
              <w:rPr>
                <w:rFonts w:ascii="Arial Narrow" w:hAnsi="Arial Narrow" w:cs="Arial"/>
                <w:shd w:val="clear" w:color="auto" w:fill="FFFFFF"/>
              </w:rPr>
              <w:t xml:space="preserve"> août</w:t>
            </w:r>
            <w:r w:rsidR="00BE6702">
              <w:rPr>
                <w:rFonts w:ascii="Arial Narrow" w:hAnsi="Arial Narrow" w:cs="Arial"/>
                <w:shd w:val="clear" w:color="auto" w:fill="FFFFFF"/>
              </w:rPr>
              <w:t xml:space="preserve"> 2022</w:t>
            </w:r>
          </w:p>
        </w:tc>
      </w:tr>
      <w:tr w:rsidR="00BE6702" w:rsidRPr="005905B3" w14:paraId="0FA2777C" w14:textId="77777777" w:rsidTr="00CB1B7C">
        <w:tc>
          <w:tcPr>
            <w:tcW w:w="1417" w:type="dxa"/>
            <w:vMerge w:val="restart"/>
            <w:vAlign w:val="center"/>
          </w:tcPr>
          <w:p w14:paraId="5AD75D5C" w14:textId="6CC9E11D" w:rsidR="00BE6702" w:rsidRDefault="00503C63" w:rsidP="00503C6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Accords </w:t>
            </w:r>
            <w:r w:rsidR="00BE6702" w:rsidRPr="005905B3">
              <w:rPr>
                <w:rFonts w:ascii="Arial Narrow" w:hAnsi="Arial Narrow" w:cs="Arial"/>
                <w:b/>
              </w:rPr>
              <w:t>Interbranches</w:t>
            </w:r>
          </w:p>
          <w:p w14:paraId="655EE86A" w14:textId="5B834BA4" w:rsidR="00503C63" w:rsidRPr="00CB1B7C" w:rsidRDefault="009840F8" w:rsidP="00CB1B7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</w:t>
            </w:r>
            <w:r w:rsidR="00503C63">
              <w:rPr>
                <w:rFonts w:ascii="Arial Narrow" w:hAnsi="Arial Narrow" w:cs="Arial"/>
                <w:b/>
              </w:rPr>
              <w:t>oncern</w:t>
            </w:r>
            <w:r>
              <w:rPr>
                <w:rFonts w:ascii="Arial Narrow" w:hAnsi="Arial Narrow" w:cs="Arial"/>
                <w:b/>
              </w:rPr>
              <w:t>a</w:t>
            </w:r>
            <w:r w:rsidR="00503C63">
              <w:rPr>
                <w:rFonts w:ascii="Arial Narrow" w:hAnsi="Arial Narrow" w:cs="Arial"/>
                <w:b/>
              </w:rPr>
              <w:t>nt </w:t>
            </w:r>
            <w:r>
              <w:rPr>
                <w:rFonts w:ascii="Arial Narrow" w:hAnsi="Arial Narrow" w:cs="Arial"/>
                <w:b/>
              </w:rPr>
              <w:t xml:space="preserve">  </w:t>
            </w:r>
            <w:r w:rsidR="00503C63">
              <w:rPr>
                <w:rFonts w:ascii="Arial Narrow" w:hAnsi="Arial Narrow" w:cs="Arial"/>
                <w:b/>
              </w:rPr>
              <w:t xml:space="preserve"> IDCC 3218 IDCC 7520</w:t>
            </w:r>
          </w:p>
        </w:tc>
        <w:tc>
          <w:tcPr>
            <w:tcW w:w="1986" w:type="dxa"/>
            <w:vMerge w:val="restart"/>
            <w:vAlign w:val="center"/>
          </w:tcPr>
          <w:p w14:paraId="05070985" w14:textId="77777777" w:rsidR="00BE6702" w:rsidRPr="005905B3" w:rsidRDefault="00BE6702" w:rsidP="00AB19D0">
            <w:pPr>
              <w:jc w:val="center"/>
              <w:rPr>
                <w:rFonts w:ascii="Arial Narrow" w:hAnsi="Arial Narrow" w:cs="Arial"/>
                <w:b/>
                <w:color w:val="4BACC6" w:themeColor="accent5"/>
              </w:rPr>
            </w:pPr>
            <w:r w:rsidRPr="005905B3">
              <w:rPr>
                <w:rFonts w:ascii="Arial Narrow" w:hAnsi="Arial Narrow" w:cs="Arial"/>
                <w:b/>
                <w:color w:val="4BACC6" w:themeColor="accent5"/>
              </w:rPr>
              <w:t>Formation professionnelle</w:t>
            </w:r>
          </w:p>
          <w:p w14:paraId="7A04F314" w14:textId="77777777" w:rsidR="00BE6702" w:rsidRPr="005905B3" w:rsidRDefault="00BE6702" w:rsidP="00AB19D0">
            <w:pPr>
              <w:jc w:val="center"/>
              <w:rPr>
                <w:rFonts w:ascii="Arial Narrow" w:hAnsi="Arial Narrow" w:cs="Arial"/>
                <w:b/>
                <w:color w:val="1F497D"/>
              </w:rPr>
            </w:pPr>
            <w:r w:rsidRPr="005905B3">
              <w:rPr>
                <w:rFonts w:ascii="Arial Narrow" w:hAnsi="Arial Narrow" w:cs="Arial"/>
                <w:noProof/>
              </w:rPr>
              <w:drawing>
                <wp:inline distT="0" distB="0" distL="0" distR="0" wp14:anchorId="668F325E" wp14:editId="5F196F84">
                  <wp:extent cx="754478" cy="696286"/>
                  <wp:effectExtent l="0" t="0" r="7620" b="889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358" cy="7192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14:paraId="2AEE3636" w14:textId="589E3E57" w:rsidR="00BE6702" w:rsidRPr="005905B3" w:rsidRDefault="00000000">
            <w:pPr>
              <w:rPr>
                <w:rFonts w:ascii="Arial Narrow" w:hAnsi="Arial Narrow" w:cs="Arial"/>
              </w:rPr>
            </w:pPr>
            <w:hyperlink r:id="rId21" w:history="1">
              <w:r w:rsidR="00BE6702" w:rsidRPr="00694F8D">
                <w:rPr>
                  <w:rStyle w:val="Lienhypertexte"/>
                  <w:rFonts w:ascii="Arial Narrow" w:hAnsi="Arial Narrow" w:cs="Arial"/>
                </w:rPr>
                <w:t>Accord interbranches sur l’emploi et le développement des compétences</w:t>
              </w:r>
            </w:hyperlink>
            <w:r w:rsidR="00BE6702" w:rsidRPr="005905B3">
              <w:rPr>
                <w:rFonts w:ascii="Arial Narrow" w:hAnsi="Arial Narrow" w:cs="Arial"/>
              </w:rPr>
              <w:t xml:space="preserve"> du 24 mars 2022</w:t>
            </w:r>
          </w:p>
        </w:tc>
      </w:tr>
      <w:tr w:rsidR="00BE6702" w:rsidRPr="005905B3" w14:paraId="311AE93F" w14:textId="77777777" w:rsidTr="00CB1B7C">
        <w:trPr>
          <w:trHeight w:val="20"/>
        </w:trPr>
        <w:tc>
          <w:tcPr>
            <w:tcW w:w="1417" w:type="dxa"/>
            <w:vMerge/>
          </w:tcPr>
          <w:p w14:paraId="66CE768F" w14:textId="41D8F0EB" w:rsidR="00BE6702" w:rsidRPr="005905B3" w:rsidRDefault="00BE6702" w:rsidP="00831386">
            <w:pPr>
              <w:rPr>
                <w:rFonts w:ascii="Arial Narrow" w:hAnsi="Arial Narrow" w:cs="Arial"/>
                <w:b/>
                <w:color w:val="1F497D"/>
              </w:rPr>
            </w:pPr>
          </w:p>
        </w:tc>
        <w:tc>
          <w:tcPr>
            <w:tcW w:w="1986" w:type="dxa"/>
            <w:vMerge/>
            <w:vAlign w:val="center"/>
          </w:tcPr>
          <w:p w14:paraId="19A733BA" w14:textId="77777777" w:rsidR="00BE6702" w:rsidRPr="005905B3" w:rsidRDefault="00BE6702">
            <w:pPr>
              <w:rPr>
                <w:rFonts w:ascii="Arial Narrow" w:hAnsi="Arial Narrow" w:cs="Arial"/>
                <w:b/>
                <w:color w:val="1F497D"/>
              </w:rPr>
            </w:pPr>
          </w:p>
        </w:tc>
        <w:tc>
          <w:tcPr>
            <w:tcW w:w="6662" w:type="dxa"/>
            <w:vAlign w:val="center"/>
          </w:tcPr>
          <w:p w14:paraId="3E783000" w14:textId="031CC7FD" w:rsidR="00BE6702" w:rsidRPr="005905B3" w:rsidRDefault="00BE6702">
            <w:pPr>
              <w:rPr>
                <w:rFonts w:ascii="Arial Narrow" w:hAnsi="Arial Narrow" w:cs="Arial"/>
              </w:rPr>
            </w:pPr>
            <w:r w:rsidRPr="005905B3">
              <w:rPr>
                <w:rFonts w:ascii="Arial Narrow" w:hAnsi="Arial Narrow" w:cs="Arial"/>
              </w:rPr>
              <w:t>CQP éducateur de vie scolaire</w:t>
            </w:r>
            <w:r w:rsidR="000249D1">
              <w:rPr>
                <w:rFonts w:ascii="Arial Narrow" w:hAnsi="Arial Narrow" w:cs="Arial"/>
              </w:rPr>
              <w:t xml:space="preserve"> (EVS)</w:t>
            </w:r>
          </w:p>
          <w:p w14:paraId="23D64A24" w14:textId="2285BFE4" w:rsidR="00BE6702" w:rsidRPr="005905B3" w:rsidRDefault="00000000" w:rsidP="00BA52BA">
            <w:pPr>
              <w:numPr>
                <w:ilvl w:val="0"/>
                <w:numId w:val="21"/>
              </w:numPr>
              <w:ind w:left="314" w:hanging="284"/>
              <w:rPr>
                <w:rFonts w:ascii="Arial Narrow" w:hAnsi="Arial Narrow" w:cs="Arial"/>
              </w:rPr>
            </w:pPr>
            <w:hyperlink r:id="rId22" w:history="1">
              <w:r w:rsidR="00BE6702" w:rsidRPr="00670E2B">
                <w:rPr>
                  <w:rStyle w:val="Lienhypertexte"/>
                  <w:rFonts w:ascii="Arial Narrow" w:hAnsi="Arial Narrow" w:cs="Arial"/>
                </w:rPr>
                <w:t>accord de création révisé le 13 octobre 2022</w:t>
              </w:r>
            </w:hyperlink>
          </w:p>
          <w:p w14:paraId="6EE70E42" w14:textId="7F25AABC" w:rsidR="00BE6702" w:rsidRPr="005905B3" w:rsidRDefault="00000000" w:rsidP="009F7C48">
            <w:pPr>
              <w:numPr>
                <w:ilvl w:val="0"/>
                <w:numId w:val="21"/>
              </w:numPr>
              <w:ind w:left="314" w:hanging="284"/>
              <w:rPr>
                <w:rFonts w:ascii="Arial Narrow" w:hAnsi="Arial Narrow" w:cs="Arial"/>
              </w:rPr>
            </w:pPr>
            <w:hyperlink r:id="rId23" w:history="1">
              <w:r w:rsidR="00BE6702" w:rsidRPr="008604CC">
                <w:rPr>
                  <w:rStyle w:val="Lienhypertexte"/>
                  <w:rFonts w:ascii="Arial Narrow" w:hAnsi="Arial Narrow" w:cs="Arial"/>
                </w:rPr>
                <w:t>accord déterminant le niveau de classification</w:t>
              </w:r>
            </w:hyperlink>
            <w:r w:rsidR="00BE6702" w:rsidRPr="005905B3">
              <w:rPr>
                <w:rFonts w:ascii="Arial Narrow" w:hAnsi="Arial Narrow" w:cs="Arial"/>
              </w:rPr>
              <w:t xml:space="preserve"> </w:t>
            </w:r>
            <w:r w:rsidR="00BE6702">
              <w:rPr>
                <w:rFonts w:ascii="Arial Narrow" w:hAnsi="Arial Narrow" w:cs="Arial"/>
              </w:rPr>
              <w:t>révisé le 13 octobre 2022</w:t>
            </w:r>
          </w:p>
        </w:tc>
      </w:tr>
      <w:tr w:rsidR="00BE6702" w:rsidRPr="005905B3" w14:paraId="2827EF09" w14:textId="77777777" w:rsidTr="00CB1B7C">
        <w:tc>
          <w:tcPr>
            <w:tcW w:w="1417" w:type="dxa"/>
            <w:vMerge/>
          </w:tcPr>
          <w:p w14:paraId="7072E5AF" w14:textId="1007EEB0" w:rsidR="00BE6702" w:rsidRPr="005905B3" w:rsidRDefault="00BE6702" w:rsidP="00831386">
            <w:pPr>
              <w:rPr>
                <w:rFonts w:ascii="Arial Narrow" w:hAnsi="Arial Narrow" w:cs="Arial"/>
                <w:b/>
                <w:color w:val="1F497D"/>
              </w:rPr>
            </w:pPr>
          </w:p>
        </w:tc>
        <w:tc>
          <w:tcPr>
            <w:tcW w:w="1986" w:type="dxa"/>
            <w:vMerge/>
            <w:vAlign w:val="center"/>
          </w:tcPr>
          <w:p w14:paraId="02E25593" w14:textId="77777777" w:rsidR="00BE6702" w:rsidRPr="005905B3" w:rsidRDefault="00BE6702">
            <w:pPr>
              <w:rPr>
                <w:rFonts w:ascii="Arial Narrow" w:hAnsi="Arial Narrow" w:cs="Arial"/>
                <w:b/>
                <w:color w:val="1F497D"/>
              </w:rPr>
            </w:pPr>
          </w:p>
        </w:tc>
        <w:tc>
          <w:tcPr>
            <w:tcW w:w="6662" w:type="dxa"/>
            <w:vAlign w:val="center"/>
          </w:tcPr>
          <w:p w14:paraId="3FF9AA90" w14:textId="42EB6571" w:rsidR="00BE6702" w:rsidRPr="005905B3" w:rsidRDefault="00BE6702">
            <w:pPr>
              <w:rPr>
                <w:rFonts w:ascii="Arial Narrow" w:hAnsi="Arial Narrow" w:cs="Arial"/>
              </w:rPr>
            </w:pPr>
            <w:r w:rsidRPr="005905B3">
              <w:rPr>
                <w:rFonts w:ascii="Arial Narrow" w:hAnsi="Arial Narrow" w:cs="Arial"/>
              </w:rPr>
              <w:t>CQP coordinateur de vie scolaire</w:t>
            </w:r>
            <w:r w:rsidR="000249D1">
              <w:rPr>
                <w:rFonts w:ascii="Arial Narrow" w:hAnsi="Arial Narrow" w:cs="Arial"/>
              </w:rPr>
              <w:t xml:space="preserve"> (CVS)</w:t>
            </w:r>
          </w:p>
          <w:p w14:paraId="68113F10" w14:textId="4E26BDBF" w:rsidR="00BE6702" w:rsidRPr="00CB1105" w:rsidRDefault="00000000" w:rsidP="00BA52BA">
            <w:pPr>
              <w:numPr>
                <w:ilvl w:val="0"/>
                <w:numId w:val="21"/>
              </w:numPr>
              <w:ind w:left="456"/>
              <w:rPr>
                <w:rFonts w:ascii="Arial Narrow" w:hAnsi="Arial Narrow" w:cs="Arial"/>
                <w:color w:val="FF0000"/>
              </w:rPr>
            </w:pPr>
            <w:hyperlink r:id="rId24" w:history="1">
              <w:r w:rsidR="00BE6702" w:rsidRPr="00DF5B77">
                <w:rPr>
                  <w:rStyle w:val="Lienhypertexte"/>
                  <w:rFonts w:ascii="Arial Narrow" w:hAnsi="Arial Narrow" w:cs="Arial"/>
                </w:rPr>
                <w:t>accord de création révisé le 28 mars 2024</w:t>
              </w:r>
            </w:hyperlink>
          </w:p>
          <w:p w14:paraId="78AD371B" w14:textId="6043F67A" w:rsidR="00BE6702" w:rsidRPr="005905B3" w:rsidRDefault="00000000" w:rsidP="000249D1">
            <w:pPr>
              <w:numPr>
                <w:ilvl w:val="0"/>
                <w:numId w:val="21"/>
              </w:numPr>
              <w:ind w:left="456"/>
              <w:rPr>
                <w:rFonts w:ascii="Arial Narrow" w:hAnsi="Arial Narrow" w:cs="Arial"/>
              </w:rPr>
            </w:pPr>
            <w:hyperlink r:id="rId25" w:history="1">
              <w:r w:rsidR="00BE6702" w:rsidRPr="008604CC">
                <w:rPr>
                  <w:rStyle w:val="Lienhypertexte"/>
                  <w:rFonts w:ascii="Arial Narrow" w:hAnsi="Arial Narrow" w:cs="Arial"/>
                </w:rPr>
                <w:t>accord déterminant le niveau de classification</w:t>
              </w:r>
              <w:r w:rsidR="008604CC" w:rsidRPr="008604CC">
                <w:rPr>
                  <w:rStyle w:val="Lienhypertexte"/>
                  <w:rFonts w:ascii="Arial Narrow" w:hAnsi="Arial Narrow" w:cs="Arial"/>
                </w:rPr>
                <w:t xml:space="preserve"> du 13 octobre 2022</w:t>
              </w:r>
            </w:hyperlink>
            <w:r w:rsidR="008604CC">
              <w:rPr>
                <w:rFonts w:ascii="Arial Narrow" w:hAnsi="Arial Narrow" w:cs="Arial"/>
              </w:rPr>
              <w:t xml:space="preserve"> (pour le CQP M2021)</w:t>
            </w:r>
            <w:r w:rsidR="00BE6702" w:rsidRPr="005905B3">
              <w:rPr>
                <w:rFonts w:ascii="Arial Narrow" w:hAnsi="Arial Narrow" w:cs="Arial"/>
              </w:rPr>
              <w:t xml:space="preserve"> </w:t>
            </w:r>
            <w:r w:rsidR="00BE6702">
              <w:rPr>
                <w:rFonts w:ascii="Arial Narrow" w:hAnsi="Arial Narrow" w:cs="Arial"/>
              </w:rPr>
              <w:t xml:space="preserve">révisé </w:t>
            </w:r>
            <w:r w:rsidR="008604CC">
              <w:rPr>
                <w:rFonts w:ascii="Arial Narrow" w:hAnsi="Arial Narrow" w:cs="Arial"/>
              </w:rPr>
              <w:t xml:space="preserve">par </w:t>
            </w:r>
            <w:hyperlink r:id="rId26" w:history="1">
              <w:r w:rsidR="008604CC" w:rsidRPr="00DF5B77">
                <w:rPr>
                  <w:rStyle w:val="Lienhypertexte"/>
                  <w:rFonts w:ascii="Arial Narrow" w:hAnsi="Arial Narrow" w:cs="Arial"/>
                </w:rPr>
                <w:t>l’accord du</w:t>
              </w:r>
              <w:r w:rsidR="00BE6702" w:rsidRPr="00DF5B77">
                <w:rPr>
                  <w:rStyle w:val="Lienhypertexte"/>
                  <w:rFonts w:ascii="Arial Narrow" w:hAnsi="Arial Narrow" w:cs="Arial"/>
                </w:rPr>
                <w:t xml:space="preserve"> 28 mars 202</w:t>
              </w:r>
              <w:r w:rsidR="000249D1" w:rsidRPr="00DF5B77">
                <w:rPr>
                  <w:rStyle w:val="Lienhypertexte"/>
                  <w:rFonts w:ascii="Arial Narrow" w:hAnsi="Arial Narrow" w:cs="Arial"/>
                </w:rPr>
                <w:t>4</w:t>
              </w:r>
            </w:hyperlink>
            <w:r w:rsidR="008604CC" w:rsidRPr="00CB1105">
              <w:rPr>
                <w:rFonts w:ascii="Arial Narrow" w:hAnsi="Arial Narrow" w:cs="Arial"/>
                <w:color w:val="FF0000"/>
              </w:rPr>
              <w:t xml:space="preserve"> </w:t>
            </w:r>
            <w:r w:rsidR="008604CC">
              <w:rPr>
                <w:rFonts w:ascii="Arial Narrow" w:hAnsi="Arial Narrow" w:cs="Arial"/>
              </w:rPr>
              <w:t>(CQP M2023)</w:t>
            </w:r>
          </w:p>
        </w:tc>
      </w:tr>
      <w:tr w:rsidR="00BE6702" w:rsidRPr="005905B3" w14:paraId="7D67DC16" w14:textId="77777777" w:rsidTr="00CB1B7C">
        <w:tc>
          <w:tcPr>
            <w:tcW w:w="1417" w:type="dxa"/>
            <w:vMerge/>
          </w:tcPr>
          <w:p w14:paraId="1F09F939" w14:textId="2811BB6F" w:rsidR="00BE6702" w:rsidRPr="005905B3" w:rsidRDefault="00BE6702" w:rsidP="00831386">
            <w:pPr>
              <w:rPr>
                <w:rFonts w:ascii="Arial Narrow" w:hAnsi="Arial Narrow" w:cs="Arial"/>
                <w:b/>
                <w:color w:val="1F497D"/>
              </w:rPr>
            </w:pPr>
          </w:p>
        </w:tc>
        <w:tc>
          <w:tcPr>
            <w:tcW w:w="1986" w:type="dxa"/>
            <w:vMerge/>
            <w:vAlign w:val="center"/>
          </w:tcPr>
          <w:p w14:paraId="5CAAC816" w14:textId="77777777" w:rsidR="00BE6702" w:rsidRPr="005905B3" w:rsidRDefault="00BE6702">
            <w:pPr>
              <w:rPr>
                <w:rFonts w:ascii="Arial Narrow" w:hAnsi="Arial Narrow" w:cs="Arial"/>
                <w:b/>
                <w:color w:val="1F497D"/>
              </w:rPr>
            </w:pPr>
          </w:p>
        </w:tc>
        <w:tc>
          <w:tcPr>
            <w:tcW w:w="6662" w:type="dxa"/>
            <w:vAlign w:val="center"/>
          </w:tcPr>
          <w:p w14:paraId="1CDBD7C8" w14:textId="72BE228B" w:rsidR="00BE6702" w:rsidRPr="000C5810" w:rsidRDefault="00BE6702" w:rsidP="000C5810">
            <w:pPr>
              <w:rPr>
                <w:rFonts w:ascii="Arial Narrow" w:hAnsi="Arial Narrow"/>
                <w:szCs w:val="16"/>
              </w:rPr>
            </w:pPr>
            <w:r w:rsidRPr="000C5810">
              <w:rPr>
                <w:rFonts w:ascii="Arial Narrow" w:hAnsi="Arial Narrow"/>
                <w:szCs w:val="16"/>
              </w:rPr>
              <w:t xml:space="preserve">CQP attaché de gestion </w:t>
            </w:r>
          </w:p>
          <w:p w14:paraId="12BEC40F" w14:textId="2D505C23" w:rsidR="00BE6702" w:rsidRPr="000C5810" w:rsidRDefault="00000000" w:rsidP="000C5810">
            <w:pPr>
              <w:pStyle w:val="Paragraphedeliste"/>
              <w:numPr>
                <w:ilvl w:val="0"/>
                <w:numId w:val="21"/>
              </w:numPr>
              <w:rPr>
                <w:rFonts w:ascii="Arial Narrow" w:hAnsi="Arial Narrow"/>
                <w:szCs w:val="16"/>
              </w:rPr>
            </w:pPr>
            <w:hyperlink r:id="rId27" w:history="1">
              <w:r w:rsidR="00BE6702" w:rsidRPr="000249D1">
                <w:rPr>
                  <w:rStyle w:val="Lienhypertexte"/>
                  <w:rFonts w:ascii="Arial Narrow" w:hAnsi="Arial Narrow"/>
                  <w:szCs w:val="16"/>
                </w:rPr>
                <w:t>accord de création du 8 décembre 2022</w:t>
              </w:r>
            </w:hyperlink>
          </w:p>
          <w:p w14:paraId="67F35745" w14:textId="588A728E" w:rsidR="00BE6702" w:rsidRPr="000C5810" w:rsidRDefault="00000000" w:rsidP="000C5810">
            <w:pPr>
              <w:pStyle w:val="Paragraphedeliste"/>
              <w:numPr>
                <w:ilvl w:val="0"/>
                <w:numId w:val="21"/>
              </w:numPr>
              <w:rPr>
                <w:rFonts w:ascii="Century Gothic" w:hAnsi="Century Gothic"/>
                <w:sz w:val="16"/>
                <w:szCs w:val="16"/>
              </w:rPr>
            </w:pPr>
            <w:hyperlink r:id="rId28" w:history="1">
              <w:r w:rsidR="00BE6702" w:rsidRPr="008604CC">
                <w:rPr>
                  <w:rStyle w:val="Lienhypertexte"/>
                  <w:rFonts w:ascii="Arial Narrow" w:hAnsi="Arial Narrow"/>
                  <w:szCs w:val="16"/>
                </w:rPr>
                <w:t>accord déterminant le niveau de classification</w:t>
              </w:r>
            </w:hyperlink>
            <w:r w:rsidR="00BE6702" w:rsidRPr="000C5810">
              <w:rPr>
                <w:rFonts w:ascii="Arial Narrow" w:hAnsi="Arial Narrow"/>
                <w:szCs w:val="16"/>
              </w:rPr>
              <w:t xml:space="preserve"> du 8 décembre 2022</w:t>
            </w:r>
          </w:p>
        </w:tc>
      </w:tr>
      <w:tr w:rsidR="00BE6702" w:rsidRPr="005905B3" w14:paraId="4F33BF73" w14:textId="77777777" w:rsidTr="00CB1B7C">
        <w:tc>
          <w:tcPr>
            <w:tcW w:w="1417" w:type="dxa"/>
            <w:vMerge/>
          </w:tcPr>
          <w:p w14:paraId="63E60763" w14:textId="77777777" w:rsidR="00BE6702" w:rsidRPr="005905B3" w:rsidRDefault="00BE6702" w:rsidP="00831386">
            <w:pPr>
              <w:rPr>
                <w:rFonts w:ascii="Arial Narrow" w:hAnsi="Arial Narrow" w:cs="Arial"/>
                <w:b/>
                <w:color w:val="1F497D"/>
              </w:rPr>
            </w:pPr>
          </w:p>
        </w:tc>
        <w:tc>
          <w:tcPr>
            <w:tcW w:w="1986" w:type="dxa"/>
            <w:vMerge/>
            <w:vAlign w:val="center"/>
          </w:tcPr>
          <w:p w14:paraId="0AB64692" w14:textId="77777777" w:rsidR="00BE6702" w:rsidRPr="005905B3" w:rsidRDefault="00BE6702">
            <w:pPr>
              <w:rPr>
                <w:rFonts w:ascii="Arial Narrow" w:hAnsi="Arial Narrow" w:cs="Arial"/>
                <w:b/>
                <w:color w:val="1F497D"/>
              </w:rPr>
            </w:pPr>
          </w:p>
        </w:tc>
        <w:tc>
          <w:tcPr>
            <w:tcW w:w="6662" w:type="dxa"/>
            <w:vAlign w:val="center"/>
          </w:tcPr>
          <w:p w14:paraId="64A5238A" w14:textId="77777777" w:rsidR="00BE6702" w:rsidRPr="005905B3" w:rsidRDefault="00BE6702" w:rsidP="000C5810">
            <w:pPr>
              <w:rPr>
                <w:rFonts w:ascii="Arial Narrow" w:hAnsi="Arial Narrow" w:cs="Arial"/>
              </w:rPr>
            </w:pPr>
            <w:r w:rsidRPr="005905B3">
              <w:rPr>
                <w:rFonts w:ascii="Arial Narrow" w:hAnsi="Arial Narrow" w:cs="Arial"/>
              </w:rPr>
              <w:t>Titre « d’expert en organisation des établissements éducatifs et scolaires et ou de formation »</w:t>
            </w:r>
          </w:p>
          <w:p w14:paraId="0DBE0E35" w14:textId="0940E33E" w:rsidR="00BE6702" w:rsidRPr="000C5810" w:rsidRDefault="00000000" w:rsidP="000C5810">
            <w:pPr>
              <w:pStyle w:val="Paragraphedeliste"/>
              <w:numPr>
                <w:ilvl w:val="0"/>
                <w:numId w:val="21"/>
              </w:numPr>
              <w:rPr>
                <w:rFonts w:ascii="Arial Narrow" w:hAnsi="Arial Narrow" w:cs="Arial"/>
              </w:rPr>
            </w:pPr>
            <w:hyperlink r:id="rId29" w:history="1">
              <w:r w:rsidR="00BE6702" w:rsidRPr="00AC5CB3">
                <w:rPr>
                  <w:rStyle w:val="Lienhypertexte"/>
                  <w:rFonts w:ascii="Arial Narrow" w:hAnsi="Arial Narrow" w:cs="Arial"/>
                </w:rPr>
                <w:t>accord déterminant le niveau de classification du 18 novembre 2014</w:t>
              </w:r>
            </w:hyperlink>
          </w:p>
        </w:tc>
      </w:tr>
      <w:tr w:rsidR="00BE6702" w:rsidRPr="005905B3" w14:paraId="192CA1C6" w14:textId="77777777" w:rsidTr="00CB1B7C">
        <w:tc>
          <w:tcPr>
            <w:tcW w:w="1417" w:type="dxa"/>
            <w:vMerge/>
          </w:tcPr>
          <w:p w14:paraId="7825FE9C" w14:textId="77777777" w:rsidR="00BE6702" w:rsidRPr="005905B3" w:rsidRDefault="00BE6702" w:rsidP="00831386">
            <w:pPr>
              <w:rPr>
                <w:rFonts w:ascii="Arial Narrow" w:hAnsi="Arial Narrow" w:cs="Arial"/>
                <w:b/>
                <w:color w:val="1F497D"/>
              </w:rPr>
            </w:pPr>
          </w:p>
        </w:tc>
        <w:tc>
          <w:tcPr>
            <w:tcW w:w="1986" w:type="dxa"/>
            <w:vMerge/>
            <w:vAlign w:val="center"/>
          </w:tcPr>
          <w:p w14:paraId="64A59F3B" w14:textId="77777777" w:rsidR="00BE6702" w:rsidRPr="005905B3" w:rsidRDefault="00BE6702">
            <w:pPr>
              <w:rPr>
                <w:rFonts w:ascii="Arial Narrow" w:hAnsi="Arial Narrow" w:cs="Arial"/>
                <w:b/>
                <w:color w:val="1F497D"/>
              </w:rPr>
            </w:pPr>
          </w:p>
        </w:tc>
        <w:tc>
          <w:tcPr>
            <w:tcW w:w="6662" w:type="dxa"/>
            <w:vAlign w:val="center"/>
          </w:tcPr>
          <w:p w14:paraId="40DA7E50" w14:textId="506EEFB9" w:rsidR="00BE6702" w:rsidRPr="000C5810" w:rsidRDefault="00000000" w:rsidP="000C5810">
            <w:pPr>
              <w:rPr>
                <w:rFonts w:ascii="Arial Narrow" w:hAnsi="Arial Narrow" w:cs="Arial"/>
              </w:rPr>
            </w:pPr>
            <w:hyperlink r:id="rId30" w:history="1">
              <w:r w:rsidR="00BE6702" w:rsidRPr="00AC5CB3">
                <w:rPr>
                  <w:rStyle w:val="Lienhypertexte"/>
                  <w:rFonts w:ascii="Arial Narrow" w:hAnsi="Arial Narrow"/>
                  <w:szCs w:val="16"/>
                </w:rPr>
                <w:t>Accord Interbranches relatif au dispositif Pro-A du 8 décembre 2022</w:t>
              </w:r>
            </w:hyperlink>
            <w:r w:rsidR="00BE6702" w:rsidRPr="000C5810">
              <w:rPr>
                <w:rFonts w:ascii="Arial Narrow" w:hAnsi="Arial Narrow"/>
                <w:szCs w:val="16"/>
              </w:rPr>
              <w:t xml:space="preserve"> </w:t>
            </w:r>
          </w:p>
        </w:tc>
      </w:tr>
      <w:tr w:rsidR="00BE6702" w:rsidRPr="005905B3" w14:paraId="4807AD35" w14:textId="77777777" w:rsidTr="00CB1B7C">
        <w:tc>
          <w:tcPr>
            <w:tcW w:w="1417" w:type="dxa"/>
            <w:vMerge/>
          </w:tcPr>
          <w:p w14:paraId="6DB6C40B" w14:textId="77777777" w:rsidR="00BE6702" w:rsidRPr="005905B3" w:rsidRDefault="00BE6702" w:rsidP="00831386">
            <w:pPr>
              <w:rPr>
                <w:rFonts w:ascii="Arial Narrow" w:hAnsi="Arial Narrow" w:cs="Arial"/>
                <w:b/>
                <w:color w:val="1F497D"/>
              </w:rPr>
            </w:pPr>
          </w:p>
        </w:tc>
        <w:tc>
          <w:tcPr>
            <w:tcW w:w="1986" w:type="dxa"/>
            <w:vMerge/>
            <w:vAlign w:val="center"/>
          </w:tcPr>
          <w:p w14:paraId="178BDE9F" w14:textId="77777777" w:rsidR="00BE6702" w:rsidRPr="005905B3" w:rsidRDefault="00BE6702">
            <w:pPr>
              <w:rPr>
                <w:rFonts w:ascii="Arial Narrow" w:hAnsi="Arial Narrow" w:cs="Arial"/>
                <w:b/>
                <w:color w:val="1F497D"/>
              </w:rPr>
            </w:pPr>
          </w:p>
        </w:tc>
        <w:tc>
          <w:tcPr>
            <w:tcW w:w="6662" w:type="dxa"/>
            <w:vAlign w:val="center"/>
          </w:tcPr>
          <w:p w14:paraId="6BE840B7" w14:textId="101827D3" w:rsidR="00BE6702" w:rsidRPr="000C5810" w:rsidRDefault="00000000" w:rsidP="00AC5CB3">
            <w:pPr>
              <w:rPr>
                <w:rFonts w:ascii="Arial Narrow" w:hAnsi="Arial Narrow" w:cs="Arial"/>
              </w:rPr>
            </w:pPr>
            <w:hyperlink r:id="rId31" w:history="1">
              <w:r w:rsidR="00BE6702" w:rsidRPr="00DF5B77">
                <w:rPr>
                  <w:rStyle w:val="Lienhypertexte"/>
                  <w:rFonts w:ascii="Arial Narrow" w:hAnsi="Arial Narrow"/>
                  <w:szCs w:val="16"/>
                </w:rPr>
                <w:t xml:space="preserve">Accord Interbranches </w:t>
              </w:r>
              <w:r w:rsidR="00AC5CB3" w:rsidRPr="00DF5B77">
                <w:rPr>
                  <w:rStyle w:val="Lienhypertexte"/>
                  <w:rFonts w:ascii="Arial Narrow" w:hAnsi="Arial Narrow"/>
                  <w:szCs w:val="16"/>
                </w:rPr>
                <w:t xml:space="preserve">2022-1 </w:t>
              </w:r>
              <w:r w:rsidR="00BE6702" w:rsidRPr="00DF5B77">
                <w:rPr>
                  <w:rStyle w:val="Lienhypertexte"/>
                  <w:rFonts w:ascii="Arial Narrow" w:hAnsi="Arial Narrow"/>
                  <w:szCs w:val="16"/>
                </w:rPr>
                <w:t>relatif à l’abondement mutualisé au compte personnel formation</w:t>
              </w:r>
            </w:hyperlink>
            <w:r w:rsidR="00BE6702" w:rsidRPr="000C5810">
              <w:rPr>
                <w:rFonts w:ascii="Arial Narrow" w:hAnsi="Arial Narrow"/>
                <w:szCs w:val="16"/>
              </w:rPr>
              <w:t xml:space="preserve"> </w:t>
            </w:r>
            <w:r w:rsidR="00AC5CB3">
              <w:rPr>
                <w:rFonts w:ascii="Arial Narrow" w:hAnsi="Arial Narrow"/>
                <w:szCs w:val="16"/>
              </w:rPr>
              <w:t xml:space="preserve">(CPF) du 22 juin 2022, </w:t>
            </w:r>
            <w:r w:rsidR="00BE6702" w:rsidRPr="00DF5B77">
              <w:rPr>
                <w:rFonts w:ascii="Arial Narrow" w:hAnsi="Arial Narrow"/>
                <w:szCs w:val="16"/>
              </w:rPr>
              <w:t>révisé le 28 mars 2024</w:t>
            </w:r>
          </w:p>
        </w:tc>
      </w:tr>
    </w:tbl>
    <w:p w14:paraId="4CE2B4D1" w14:textId="77777777" w:rsidR="00CB1B7C" w:rsidRDefault="00CB1B7C"/>
    <w:tbl>
      <w:tblPr>
        <w:tblStyle w:val="Grilledutableau11"/>
        <w:tblW w:w="10065" w:type="dxa"/>
        <w:tblInd w:w="-14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7"/>
        <w:gridCol w:w="1986"/>
        <w:gridCol w:w="6662"/>
      </w:tblGrid>
      <w:tr w:rsidR="00AB19D0" w:rsidRPr="005905B3" w14:paraId="4CC32EFB" w14:textId="77777777" w:rsidTr="00CB1B7C">
        <w:trPr>
          <w:trHeight w:val="913"/>
        </w:trPr>
        <w:tc>
          <w:tcPr>
            <w:tcW w:w="1417" w:type="dxa"/>
            <w:vMerge w:val="restart"/>
            <w:vAlign w:val="center"/>
          </w:tcPr>
          <w:p w14:paraId="303F93F6" w14:textId="77777777" w:rsidR="00CB1B7C" w:rsidRDefault="00CB1B7C" w:rsidP="00CB1B7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Accords </w:t>
            </w:r>
            <w:r w:rsidRPr="005905B3">
              <w:rPr>
                <w:rFonts w:ascii="Arial Narrow" w:hAnsi="Arial Narrow" w:cs="Arial"/>
                <w:b/>
              </w:rPr>
              <w:t>Interbranches</w:t>
            </w:r>
          </w:p>
          <w:p w14:paraId="14733906" w14:textId="121C1CA3" w:rsidR="00AB19D0" w:rsidRPr="005905B3" w:rsidRDefault="00CB1B7C" w:rsidP="00CB1B7C">
            <w:pPr>
              <w:jc w:val="center"/>
              <w:rPr>
                <w:rFonts w:ascii="Arial Narrow" w:hAnsi="Arial Narrow" w:cs="Arial"/>
                <w:b/>
                <w:color w:val="1F497D"/>
              </w:rPr>
            </w:pPr>
            <w:r>
              <w:rPr>
                <w:rFonts w:ascii="Arial Narrow" w:hAnsi="Arial Narrow" w:cs="Arial"/>
                <w:b/>
              </w:rPr>
              <w:t>concernant     IDCC 3218 IDCC 7520</w:t>
            </w:r>
          </w:p>
        </w:tc>
        <w:tc>
          <w:tcPr>
            <w:tcW w:w="1986" w:type="dxa"/>
            <w:vMerge w:val="restart"/>
            <w:vAlign w:val="center"/>
          </w:tcPr>
          <w:p w14:paraId="69F9C5D8" w14:textId="2AC3A853" w:rsidR="00810E36" w:rsidRPr="005905B3" w:rsidRDefault="00AB19D0" w:rsidP="00810E36">
            <w:pPr>
              <w:jc w:val="center"/>
              <w:rPr>
                <w:rFonts w:ascii="Arial Narrow" w:hAnsi="Arial Narrow" w:cs="Arial"/>
                <w:b/>
                <w:color w:val="1F497D"/>
              </w:rPr>
            </w:pPr>
            <w:r w:rsidRPr="005905B3">
              <w:rPr>
                <w:rFonts w:ascii="Arial Narrow" w:hAnsi="Arial Narrow" w:cs="Arial"/>
                <w:b/>
                <w:color w:val="1F497D"/>
              </w:rPr>
              <w:t>Protection sociale</w:t>
            </w:r>
          </w:p>
          <w:p w14:paraId="1EB3B36B" w14:textId="45BFF22F" w:rsidR="005905B3" w:rsidRPr="005905B3" w:rsidRDefault="00D549DF" w:rsidP="00AB19D0">
            <w:pPr>
              <w:jc w:val="center"/>
              <w:rPr>
                <w:rFonts w:ascii="Arial Narrow" w:hAnsi="Arial Narrow" w:cs="Arial"/>
                <w:b/>
                <w:color w:val="1F497D"/>
              </w:rPr>
            </w:pPr>
            <w:r>
              <w:rPr>
                <w:noProof/>
              </w:rPr>
              <w:drawing>
                <wp:inline distT="0" distB="0" distL="0" distR="0" wp14:anchorId="6FBADCA0" wp14:editId="2ACCA1EA">
                  <wp:extent cx="695769" cy="696286"/>
                  <wp:effectExtent l="0" t="0" r="9525" b="889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32"/>
                          <a:srcRect t="-2" r="75649" b="3922"/>
                          <a:stretch/>
                        </pic:blipFill>
                        <pic:spPr bwMode="auto">
                          <a:xfrm>
                            <a:off x="0" y="0"/>
                            <a:ext cx="730425" cy="73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AB3F44" w14:textId="43A6CEF9" w:rsidR="005905B3" w:rsidRPr="005905B3" w:rsidRDefault="005905B3" w:rsidP="00AB19D0">
            <w:pPr>
              <w:jc w:val="center"/>
              <w:rPr>
                <w:rFonts w:ascii="Arial Narrow" w:hAnsi="Arial Narrow" w:cs="Arial"/>
                <w:b/>
                <w:color w:val="1F497D"/>
              </w:rPr>
            </w:pPr>
          </w:p>
          <w:p w14:paraId="3CB9444F" w14:textId="14EE8075" w:rsidR="00810E36" w:rsidRPr="005905B3" w:rsidRDefault="00810E36" w:rsidP="00810E36">
            <w:pPr>
              <w:rPr>
                <w:rFonts w:ascii="Arial Narrow" w:hAnsi="Arial Narrow" w:cs="Arial"/>
                <w:b/>
                <w:color w:val="1F497D"/>
              </w:rPr>
            </w:pPr>
          </w:p>
          <w:p w14:paraId="1DF5A4AA" w14:textId="44A1EEE4" w:rsidR="005905B3" w:rsidRPr="005905B3" w:rsidRDefault="00D549DF" w:rsidP="00AB19D0">
            <w:pPr>
              <w:jc w:val="center"/>
              <w:rPr>
                <w:rFonts w:ascii="Arial Narrow" w:hAnsi="Arial Narrow" w:cs="Arial"/>
                <w:b/>
                <w:color w:val="1F497D"/>
              </w:rPr>
            </w:pPr>
            <w:r>
              <w:rPr>
                <w:noProof/>
              </w:rPr>
              <w:drawing>
                <wp:inline distT="0" distB="0" distL="0" distR="0" wp14:anchorId="135667CA" wp14:editId="70A6969C">
                  <wp:extent cx="721296" cy="696286"/>
                  <wp:effectExtent l="0" t="0" r="3175" b="8890"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32"/>
                          <a:srcRect l="24374" t="1985" r="50802" b="-2995"/>
                          <a:stretch/>
                        </pic:blipFill>
                        <pic:spPr bwMode="auto">
                          <a:xfrm>
                            <a:off x="0" y="0"/>
                            <a:ext cx="742347" cy="716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403524E" w14:textId="2A87EA24" w:rsidR="00810E36" w:rsidRDefault="00810E36" w:rsidP="00810E36">
            <w:pPr>
              <w:rPr>
                <w:rFonts w:ascii="Arial Narrow" w:hAnsi="Arial Narrow" w:cs="Arial"/>
                <w:b/>
                <w:color w:val="1F497D"/>
              </w:rPr>
            </w:pPr>
          </w:p>
          <w:p w14:paraId="3B2E27F7" w14:textId="77777777" w:rsidR="00DC13A0" w:rsidRDefault="00DC13A0" w:rsidP="00810E36">
            <w:pPr>
              <w:rPr>
                <w:rFonts w:ascii="Arial Narrow" w:hAnsi="Arial Narrow" w:cs="Arial"/>
                <w:b/>
                <w:color w:val="1F497D"/>
              </w:rPr>
            </w:pPr>
          </w:p>
          <w:p w14:paraId="5817AD6C" w14:textId="4B03F4E9" w:rsidR="005905B3" w:rsidRPr="005905B3" w:rsidRDefault="005905B3" w:rsidP="00810E36">
            <w:pPr>
              <w:rPr>
                <w:rFonts w:ascii="Arial Narrow" w:hAnsi="Arial Narrow" w:cs="Arial"/>
                <w:b/>
                <w:color w:val="1F497D"/>
              </w:rPr>
            </w:pPr>
          </w:p>
          <w:p w14:paraId="7BFCC7AD" w14:textId="2C8FDFB1" w:rsidR="005905B3" w:rsidRPr="005905B3" w:rsidRDefault="00D549DF" w:rsidP="00AB19D0">
            <w:pPr>
              <w:jc w:val="center"/>
              <w:rPr>
                <w:rFonts w:ascii="Arial Narrow" w:hAnsi="Arial Narrow" w:cs="Arial"/>
                <w:b/>
                <w:color w:val="1F497D"/>
              </w:rPr>
            </w:pPr>
            <w:r>
              <w:rPr>
                <w:noProof/>
              </w:rPr>
              <w:drawing>
                <wp:inline distT="0" distB="0" distL="0" distR="0" wp14:anchorId="268545EB" wp14:editId="0571CBC1">
                  <wp:extent cx="771517" cy="754753"/>
                  <wp:effectExtent l="0" t="0" r="0" b="7620"/>
                  <wp:docPr id="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32"/>
                          <a:srcRect l="73538" t="-1980"/>
                          <a:stretch/>
                        </pic:blipFill>
                        <pic:spPr bwMode="auto">
                          <a:xfrm>
                            <a:off x="0" y="0"/>
                            <a:ext cx="800554" cy="783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A616F8" w14:textId="5A4DD270" w:rsidR="00810E36" w:rsidRPr="005905B3" w:rsidRDefault="00810E36" w:rsidP="00810E36">
            <w:pPr>
              <w:rPr>
                <w:rFonts w:ascii="Arial Narrow" w:hAnsi="Arial Narrow" w:cs="Arial"/>
                <w:b/>
                <w:color w:val="1F497D"/>
              </w:rPr>
            </w:pPr>
          </w:p>
          <w:p w14:paraId="1922E2AC" w14:textId="7DE1C212" w:rsidR="00AB19D0" w:rsidRPr="005905B3" w:rsidRDefault="00AB19D0">
            <w:pPr>
              <w:ind w:left="-108"/>
              <w:rPr>
                <w:rFonts w:ascii="Arial Narrow" w:hAnsi="Arial Narrow" w:cs="Arial"/>
                <w:b/>
                <w:color w:val="1F497D"/>
              </w:rPr>
            </w:pPr>
          </w:p>
        </w:tc>
        <w:tc>
          <w:tcPr>
            <w:tcW w:w="6662" w:type="dxa"/>
            <w:vAlign w:val="center"/>
          </w:tcPr>
          <w:p w14:paraId="5709B2CC" w14:textId="77777777" w:rsidR="00AB19D0" w:rsidRPr="005905B3" w:rsidRDefault="00AB19D0">
            <w:pPr>
              <w:rPr>
                <w:rFonts w:ascii="Arial Narrow" w:hAnsi="Arial Narrow" w:cs="Arial"/>
                <w:b/>
                <w:color w:val="92D050"/>
              </w:rPr>
            </w:pPr>
            <w:r w:rsidRPr="005905B3">
              <w:rPr>
                <w:rFonts w:ascii="Arial Narrow" w:hAnsi="Arial Narrow" w:cs="Arial"/>
                <w:b/>
                <w:color w:val="92D050"/>
              </w:rPr>
              <w:t>Complémentaire santé</w:t>
            </w:r>
          </w:p>
          <w:p w14:paraId="71C3A222" w14:textId="53F8BA18" w:rsidR="00AB19D0" w:rsidRPr="005905B3" w:rsidRDefault="008F6D26" w:rsidP="00AB19D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hyperlink r:id="rId33" w:history="1">
              <w:r w:rsidR="00AB19D0" w:rsidRPr="00AC5CB3">
                <w:rPr>
                  <w:rStyle w:val="Lienhypertexte"/>
                  <w:rFonts w:ascii="Arial Narrow" w:hAnsi="Arial Narrow" w:cs="Arial"/>
                </w:rPr>
                <w:t>Accord collectif relatif au régime frais de santé</w:t>
              </w:r>
            </w:hyperlink>
            <w:r w:rsidR="00AB19D0" w:rsidRPr="005905B3">
              <w:rPr>
                <w:rFonts w:ascii="Arial Narrow" w:hAnsi="Arial Narrow" w:cs="Arial"/>
              </w:rPr>
              <w:t xml:space="preserve"> dénommé EEP Santé du 31 janvier 2022</w:t>
            </w:r>
          </w:p>
          <w:p w14:paraId="165812C0" w14:textId="77777777" w:rsidR="00AB19D0" w:rsidRDefault="008F6D26" w:rsidP="00AB19D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hyperlink r:id="rId34" w:history="1">
              <w:r w:rsidR="00AB19D0" w:rsidRPr="00DC13A0">
                <w:rPr>
                  <w:rStyle w:val="Lienhypertexte"/>
                  <w:rFonts w:ascii="Arial Narrow" w:hAnsi="Arial Narrow" w:cs="Arial"/>
                </w:rPr>
                <w:t>Accord collectif relatif à la recommandation d'organismes assureurs</w:t>
              </w:r>
            </w:hyperlink>
            <w:r w:rsidR="00AB19D0" w:rsidRPr="005905B3">
              <w:rPr>
                <w:rFonts w:ascii="Arial Narrow" w:hAnsi="Arial Narrow" w:cs="Arial"/>
              </w:rPr>
              <w:t xml:space="preserve"> du 31 janvier 2022</w:t>
            </w:r>
          </w:p>
          <w:p w14:paraId="6A5EAA96" w14:textId="143BE554" w:rsidR="00DC13A0" w:rsidRPr="005905B3" w:rsidRDefault="00DC13A0" w:rsidP="00AB19D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hyperlink r:id="rId35" w:history="1">
              <w:r w:rsidRPr="00C204FF">
                <w:rPr>
                  <w:rStyle w:val="Lienhypertexte"/>
                  <w:rFonts w:ascii="Arial Narrow" w:hAnsi="Arial Narrow"/>
                </w:rPr>
                <w:t xml:space="preserve">Avenant </w:t>
              </w:r>
              <w:r w:rsidR="00C204FF" w:rsidRPr="00C204FF">
                <w:rPr>
                  <w:rStyle w:val="Lienhypertexte"/>
                  <w:rFonts w:ascii="Arial Narrow" w:hAnsi="Arial Narrow"/>
                </w:rPr>
                <w:t>n°2</w:t>
              </w:r>
            </w:hyperlink>
            <w:r w:rsidR="00C204FF">
              <w:rPr>
                <w:rFonts w:ascii="Arial Narrow" w:hAnsi="Arial Narrow"/>
                <w:color w:val="FF0000"/>
              </w:rPr>
              <w:t xml:space="preserve"> </w:t>
            </w:r>
            <w:r w:rsidR="00C204FF" w:rsidRPr="00DA41F9">
              <w:rPr>
                <w:rFonts w:ascii="Arial Narrow" w:hAnsi="Arial Narrow" w:cs="Arial"/>
              </w:rPr>
              <w:t>du 27 novembre 2023 (cotisations)</w:t>
            </w:r>
          </w:p>
        </w:tc>
      </w:tr>
      <w:tr w:rsidR="00AB19D0" w:rsidRPr="005905B3" w14:paraId="3E50612E" w14:textId="77777777" w:rsidTr="00CB1B7C">
        <w:trPr>
          <w:trHeight w:val="1540"/>
        </w:trPr>
        <w:tc>
          <w:tcPr>
            <w:tcW w:w="1417" w:type="dxa"/>
            <w:vMerge/>
          </w:tcPr>
          <w:p w14:paraId="5D1CDDB2" w14:textId="0B9B8E02" w:rsidR="00AB19D0" w:rsidRPr="005905B3" w:rsidRDefault="00AB19D0" w:rsidP="00831386">
            <w:pPr>
              <w:rPr>
                <w:rFonts w:ascii="Arial Narrow" w:hAnsi="Arial Narrow" w:cs="Arial"/>
                <w:b/>
                <w:color w:val="1F497D"/>
              </w:rPr>
            </w:pPr>
          </w:p>
        </w:tc>
        <w:tc>
          <w:tcPr>
            <w:tcW w:w="1986" w:type="dxa"/>
            <w:vMerge/>
            <w:vAlign w:val="center"/>
          </w:tcPr>
          <w:p w14:paraId="3771D9C5" w14:textId="77777777" w:rsidR="00AB19D0" w:rsidRPr="005905B3" w:rsidRDefault="00AB19D0">
            <w:pPr>
              <w:rPr>
                <w:rFonts w:ascii="Arial Narrow" w:hAnsi="Arial Narrow" w:cs="Arial"/>
                <w:b/>
                <w:color w:val="1F497D"/>
              </w:rPr>
            </w:pPr>
          </w:p>
        </w:tc>
        <w:tc>
          <w:tcPr>
            <w:tcW w:w="6662" w:type="dxa"/>
            <w:vAlign w:val="center"/>
          </w:tcPr>
          <w:p w14:paraId="15A3901D" w14:textId="77777777" w:rsidR="00AB19D0" w:rsidRPr="005905B3" w:rsidRDefault="00AB19D0">
            <w:pPr>
              <w:rPr>
                <w:rFonts w:ascii="Arial Narrow" w:hAnsi="Arial Narrow" w:cs="Arial"/>
                <w:b/>
                <w:color w:val="1F497D" w:themeColor="text2"/>
              </w:rPr>
            </w:pPr>
            <w:r w:rsidRPr="005905B3">
              <w:rPr>
                <w:rFonts w:ascii="Arial Narrow" w:hAnsi="Arial Narrow" w:cs="Arial"/>
                <w:b/>
                <w:color w:val="1F497D" w:themeColor="text2"/>
              </w:rPr>
              <w:t xml:space="preserve">Prévoyance : </w:t>
            </w:r>
          </w:p>
          <w:p w14:paraId="63E75904" w14:textId="175B0AEE" w:rsidR="00AB19D0" w:rsidRPr="005905B3" w:rsidRDefault="008F6D26" w:rsidP="00AB19D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hyperlink r:id="rId36" w:history="1">
              <w:r w:rsidR="00AB19D0" w:rsidRPr="00CB1105">
                <w:rPr>
                  <w:rStyle w:val="Lienhypertexte"/>
                  <w:rFonts w:ascii="Arial Narrow" w:hAnsi="Arial Narrow" w:cs="Arial"/>
                </w:rPr>
                <w:t>Accord collectif relatif au régime de prévoyance des personnels non cadres</w:t>
              </w:r>
            </w:hyperlink>
            <w:r w:rsidR="00AB19D0" w:rsidRPr="005905B3">
              <w:rPr>
                <w:rFonts w:ascii="Arial Narrow" w:hAnsi="Arial Narrow" w:cs="Arial"/>
              </w:rPr>
              <w:t xml:space="preserve"> rémunérés par les établissements d'enseignement privé sous contrat</w:t>
            </w:r>
            <w:r w:rsidR="00AB19D0" w:rsidRPr="005905B3">
              <w:rPr>
                <w:rFonts w:ascii="Arial Narrow" w:hAnsi="Arial Narrow" w:cs="Arial"/>
                <w:color w:val="F79646" w:themeColor="accent6"/>
              </w:rPr>
              <w:t xml:space="preserve"> </w:t>
            </w:r>
            <w:r w:rsidR="00AB19D0" w:rsidRPr="005905B3">
              <w:rPr>
                <w:rFonts w:ascii="Arial Narrow" w:hAnsi="Arial Narrow" w:cs="Arial"/>
              </w:rPr>
              <w:t>du 2 octobre 2013 (révisés par le protocole d’accord du 26 juin 2014)</w:t>
            </w:r>
          </w:p>
          <w:p w14:paraId="25BC27D2" w14:textId="77D7D323" w:rsidR="00DC13A0" w:rsidRPr="005905B3" w:rsidRDefault="008F6D26" w:rsidP="00AB19D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="00AB19D0" w:rsidRPr="005905B3">
              <w:rPr>
                <w:rFonts w:ascii="Arial Narrow" w:hAnsi="Arial Narrow" w:cs="Arial"/>
              </w:rPr>
              <w:t>Accord collectif relatif au régime de prévoyance des personnels cadres et assimilés rémunérés par les établissements d'enseignement privé sous contrat du 2 octobre 2013 (révisés par le protocole d’accord du 26 juin 2014)</w:t>
            </w:r>
          </w:p>
        </w:tc>
      </w:tr>
      <w:tr w:rsidR="00693F86" w:rsidRPr="005905B3" w14:paraId="7F951ABF" w14:textId="77777777" w:rsidTr="00CB1B7C">
        <w:trPr>
          <w:trHeight w:val="1139"/>
        </w:trPr>
        <w:tc>
          <w:tcPr>
            <w:tcW w:w="1417" w:type="dxa"/>
            <w:vMerge/>
          </w:tcPr>
          <w:p w14:paraId="0047CB5C" w14:textId="6B77A1FC" w:rsidR="00693F86" w:rsidRPr="005905B3" w:rsidRDefault="00693F86">
            <w:pPr>
              <w:rPr>
                <w:rFonts w:ascii="Arial Narrow" w:hAnsi="Arial Narrow" w:cs="Arial"/>
                <w:b/>
                <w:color w:val="1F497D"/>
              </w:rPr>
            </w:pPr>
          </w:p>
        </w:tc>
        <w:tc>
          <w:tcPr>
            <w:tcW w:w="1986" w:type="dxa"/>
            <w:vMerge/>
            <w:vAlign w:val="center"/>
          </w:tcPr>
          <w:p w14:paraId="5D5137DA" w14:textId="77777777" w:rsidR="00693F86" w:rsidRPr="005905B3" w:rsidRDefault="00693F86">
            <w:pPr>
              <w:rPr>
                <w:rFonts w:ascii="Arial Narrow" w:hAnsi="Arial Narrow" w:cs="Arial"/>
                <w:b/>
                <w:color w:val="1F497D"/>
              </w:rPr>
            </w:pPr>
          </w:p>
        </w:tc>
        <w:tc>
          <w:tcPr>
            <w:tcW w:w="6662" w:type="dxa"/>
            <w:vAlign w:val="center"/>
          </w:tcPr>
          <w:p w14:paraId="26F26436" w14:textId="09420141" w:rsidR="00AB19D0" w:rsidRPr="005905B3" w:rsidRDefault="00AB19D0" w:rsidP="00693F86">
            <w:pPr>
              <w:rPr>
                <w:rFonts w:ascii="Arial Narrow" w:hAnsi="Arial Narrow" w:cs="Arial"/>
                <w:b/>
                <w:color w:val="F79646" w:themeColor="accent6"/>
              </w:rPr>
            </w:pPr>
            <w:r w:rsidRPr="005905B3">
              <w:rPr>
                <w:rFonts w:ascii="Arial Narrow" w:hAnsi="Arial Narrow" w:cs="Arial"/>
                <w:b/>
                <w:color w:val="984806" w:themeColor="accent6" w:themeShade="80"/>
              </w:rPr>
              <w:t xml:space="preserve">Retraite : </w:t>
            </w:r>
          </w:p>
          <w:p w14:paraId="4001EF16" w14:textId="303405F0" w:rsidR="00875ECD" w:rsidRPr="00DC13A0" w:rsidRDefault="008F6D26" w:rsidP="00693F86">
            <w:pPr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hyperlink r:id="rId37" w:history="1">
              <w:r w:rsidR="00693F86" w:rsidRPr="00DC13A0">
                <w:rPr>
                  <w:rStyle w:val="Lienhypertexte"/>
                  <w:rFonts w:ascii="Arial Narrow" w:hAnsi="Arial Narrow" w:cs="Arial"/>
                </w:rPr>
                <w:t>Accord paritaire portant sur l’affiliation des salariés aux régimes de retraite et de prévoyance des cadres et assimilés</w:t>
              </w:r>
            </w:hyperlink>
            <w:r w:rsidR="00693F86" w:rsidRPr="005905B3">
              <w:rPr>
                <w:rFonts w:ascii="Arial Narrow" w:hAnsi="Arial Narrow" w:cs="Arial"/>
              </w:rPr>
              <w:t xml:space="preserve"> </w:t>
            </w:r>
            <w:r w:rsidR="00DC13A0" w:rsidRPr="00C80377">
              <w:rPr>
                <w:rFonts w:ascii="Arial Narrow" w:hAnsi="Arial Narrow" w:cs="Arial"/>
              </w:rPr>
              <w:t>2 juillet 2013</w:t>
            </w:r>
          </w:p>
          <w:p w14:paraId="0FD87F37" w14:textId="16AC7A45" w:rsidR="00875ECD" w:rsidRPr="005905B3" w:rsidRDefault="00000000" w:rsidP="00693F86">
            <w:pPr>
              <w:rPr>
                <w:rFonts w:ascii="Arial Narrow" w:hAnsi="Arial Narrow" w:cs="Arial"/>
              </w:rPr>
            </w:pPr>
            <w:hyperlink r:id="rId38" w:history="1">
              <w:r w:rsidR="008F6D26" w:rsidRPr="00C204FF">
                <w:rPr>
                  <w:rStyle w:val="Lienhypertexte"/>
                  <w:rFonts w:ascii="Arial Narrow" w:hAnsi="Arial Narrow" w:cs="Arial"/>
                </w:rPr>
                <w:t xml:space="preserve">- </w:t>
              </w:r>
              <w:r w:rsidR="00875ECD" w:rsidRPr="00C204FF">
                <w:rPr>
                  <w:rStyle w:val="Lienhypertexte"/>
                  <w:rFonts w:ascii="Arial Narrow" w:hAnsi="Arial Narrow" w:cs="Arial"/>
                </w:rPr>
                <w:t xml:space="preserve">Accord paritaire concernant le relèvement du taux de cotisation de retraite complémentaire ARRCO pour les personnels des établissements privés accomplissant des tâches directement rémunérées par l’employeur privé </w:t>
              </w:r>
              <w:r w:rsidR="00875ECD" w:rsidRPr="000F4295">
                <w:rPr>
                  <w:rStyle w:val="Lienhypertexte"/>
                  <w:rFonts w:ascii="Arial Narrow" w:hAnsi="Arial Narrow" w:cs="Arial"/>
                  <w:color w:val="auto"/>
                  <w:u w:val="none"/>
                </w:rPr>
                <w:t>du 13 décembre 1991</w:t>
              </w:r>
            </w:hyperlink>
          </w:p>
        </w:tc>
      </w:tr>
    </w:tbl>
    <w:p w14:paraId="1BA90726" w14:textId="3B970E23" w:rsidR="000C5810" w:rsidRPr="00BE6702" w:rsidRDefault="000C5810" w:rsidP="000C5810">
      <w:pPr>
        <w:rPr>
          <w:rFonts w:ascii="Century Gothic" w:hAnsi="Century Gothic"/>
          <w:sz w:val="18"/>
        </w:rPr>
      </w:pPr>
    </w:p>
    <w:tbl>
      <w:tblPr>
        <w:tblStyle w:val="Grilledutableau11"/>
        <w:tblW w:w="10065" w:type="dxa"/>
        <w:tblInd w:w="-14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6662"/>
      </w:tblGrid>
      <w:tr w:rsidR="000C5810" w:rsidRPr="00032AD6" w14:paraId="7DE80F15" w14:textId="77777777" w:rsidTr="00BE6702">
        <w:trPr>
          <w:trHeight w:val="20"/>
        </w:trPr>
        <w:tc>
          <w:tcPr>
            <w:tcW w:w="1418" w:type="dxa"/>
            <w:vAlign w:val="center"/>
          </w:tcPr>
          <w:p w14:paraId="3E840962" w14:textId="77777777" w:rsidR="000C5810" w:rsidRPr="00032AD6" w:rsidRDefault="000C5810" w:rsidP="007924C0">
            <w:pPr>
              <w:jc w:val="center"/>
              <w:rPr>
                <w:rFonts w:ascii="Century Gothic" w:hAnsi="Century Gothic"/>
                <w:b/>
                <w:color w:val="1F497D"/>
                <w:sz w:val="18"/>
                <w:szCs w:val="18"/>
              </w:rPr>
            </w:pPr>
            <w:r w:rsidRPr="00032AD6">
              <w:rPr>
                <w:rFonts w:ascii="Century Gothic" w:hAnsi="Century Gothic"/>
                <w:b/>
                <w:color w:val="1F497D"/>
                <w:sz w:val="18"/>
                <w:szCs w:val="18"/>
              </w:rPr>
              <w:t>Accords d’entreprise</w:t>
            </w:r>
          </w:p>
        </w:tc>
        <w:tc>
          <w:tcPr>
            <w:tcW w:w="1985" w:type="dxa"/>
            <w:vAlign w:val="center"/>
          </w:tcPr>
          <w:p w14:paraId="6A68CC01" w14:textId="77777777" w:rsidR="000C5810" w:rsidRPr="00032AD6" w:rsidRDefault="000C5810" w:rsidP="007924C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14:paraId="51672AF6" w14:textId="12E2EFE3" w:rsidR="000C5810" w:rsidRPr="00B610C7" w:rsidRDefault="00B610C7" w:rsidP="007924C0">
            <w:pPr>
              <w:rPr>
                <w:rFonts w:ascii="Century Gothic" w:hAnsi="Century Gothic"/>
                <w:sz w:val="14"/>
                <w:szCs w:val="14"/>
              </w:rPr>
            </w:pPr>
            <w:r w:rsidRPr="00B610C7">
              <w:rPr>
                <w:rFonts w:ascii="Century Gothic" w:hAnsi="Century Gothic"/>
                <w:sz w:val="20"/>
                <w:szCs w:val="14"/>
              </w:rPr>
              <w:t xml:space="preserve">L’employeur doit indiquer ici les accords d’entreprise applicable </w:t>
            </w:r>
            <w:r>
              <w:rPr>
                <w:rFonts w:ascii="Century Gothic" w:hAnsi="Century Gothic"/>
                <w:sz w:val="20"/>
                <w:szCs w:val="14"/>
              </w:rPr>
              <w:t>aux salariés de l’établissement ou de la structure.</w:t>
            </w:r>
          </w:p>
        </w:tc>
      </w:tr>
    </w:tbl>
    <w:p w14:paraId="4A97922A" w14:textId="77777777" w:rsidR="000C5810" w:rsidRPr="00032AD6" w:rsidRDefault="000C5810" w:rsidP="000C5810">
      <w:pPr>
        <w:spacing w:after="0"/>
        <w:jc w:val="both"/>
        <w:rPr>
          <w:rFonts w:ascii="Century Gothic" w:hAnsi="Century Gothic"/>
          <w:b/>
          <w:sz w:val="18"/>
        </w:rPr>
      </w:pPr>
    </w:p>
    <w:p w14:paraId="33CF20B6" w14:textId="77777777" w:rsidR="000C5810" w:rsidRPr="00B610C7" w:rsidRDefault="000C5810" w:rsidP="000C5810">
      <w:pPr>
        <w:spacing w:after="0"/>
        <w:jc w:val="both"/>
        <w:rPr>
          <w:rFonts w:ascii="Century Gothic" w:hAnsi="Century Gothic"/>
          <w:b/>
        </w:rPr>
      </w:pPr>
      <w:r w:rsidRPr="00B610C7">
        <w:rPr>
          <w:rFonts w:ascii="Century Gothic" w:hAnsi="Century Gothic"/>
          <w:b/>
          <w:i/>
          <w:u w:val="single"/>
        </w:rPr>
        <w:t>Vous pouvez consulter ces accords</w:t>
      </w:r>
      <w:r w:rsidRPr="00B610C7">
        <w:rPr>
          <w:rFonts w:ascii="Century Gothic" w:hAnsi="Century Gothic"/>
          <w:b/>
        </w:rPr>
        <w:t xml:space="preserve"> </w:t>
      </w:r>
      <w:r w:rsidRPr="00B610C7">
        <w:rPr>
          <w:rFonts w:ascii="Century Gothic" w:hAnsi="Century Gothic"/>
          <w:i/>
          <w:color w:val="1F497D" w:themeColor="dark2"/>
        </w:rPr>
        <w:t>(lieu de consultation) :</w:t>
      </w:r>
    </w:p>
    <w:p w14:paraId="2C26BC96" w14:textId="77777777" w:rsidR="000C5810" w:rsidRPr="00B610C7" w:rsidRDefault="000C5810" w:rsidP="000C5810">
      <w:pPr>
        <w:spacing w:after="0"/>
        <w:jc w:val="both"/>
        <w:rPr>
          <w:rFonts w:ascii="Century Gothic" w:hAnsi="Century Gothic"/>
          <w:b/>
        </w:rPr>
      </w:pPr>
    </w:p>
    <w:p w14:paraId="651D917E" w14:textId="77777777" w:rsidR="000C5810" w:rsidRPr="00B610C7" w:rsidRDefault="000C5810" w:rsidP="000C5810">
      <w:pPr>
        <w:spacing w:after="0"/>
        <w:jc w:val="both"/>
        <w:rPr>
          <w:rFonts w:ascii="Century Gothic" w:hAnsi="Century Gothic"/>
          <w:b/>
        </w:rPr>
      </w:pPr>
    </w:p>
    <w:p w14:paraId="3A638828" w14:textId="77777777" w:rsidR="000C5810" w:rsidRPr="00B610C7" w:rsidRDefault="000C5810" w:rsidP="000C5810">
      <w:pPr>
        <w:spacing w:after="0"/>
        <w:jc w:val="both"/>
        <w:rPr>
          <w:rFonts w:ascii="Century Gothic" w:hAnsi="Century Gothic"/>
          <w:i/>
          <w:color w:val="1F497D" w:themeColor="dark2"/>
        </w:rPr>
      </w:pPr>
      <w:r w:rsidRPr="00B610C7">
        <w:rPr>
          <w:rFonts w:ascii="Century Gothic" w:hAnsi="Century Gothic"/>
          <w:b/>
          <w:u w:val="single"/>
        </w:rPr>
        <w:t>Modalités de consultation</w:t>
      </w:r>
      <w:r w:rsidRPr="00B610C7">
        <w:rPr>
          <w:rFonts w:ascii="Century Gothic" w:hAnsi="Century Gothic"/>
          <w:b/>
        </w:rPr>
        <w:t xml:space="preserve"> : </w:t>
      </w:r>
    </w:p>
    <w:p w14:paraId="25BFD408" w14:textId="77777777" w:rsidR="000C5810" w:rsidRDefault="000C5810" w:rsidP="000C5810">
      <w:pPr>
        <w:spacing w:after="0"/>
        <w:jc w:val="both"/>
        <w:rPr>
          <w:rFonts w:ascii="Century Gothic" w:hAnsi="Century Gothic"/>
          <w:i/>
          <w:color w:val="1F497D" w:themeColor="dark2"/>
          <w:sz w:val="18"/>
        </w:rPr>
      </w:pPr>
    </w:p>
    <w:p w14:paraId="4B361038" w14:textId="77777777" w:rsidR="000C5810" w:rsidRDefault="000C5810" w:rsidP="000C5810">
      <w:pPr>
        <w:spacing w:after="0"/>
        <w:jc w:val="both"/>
        <w:rPr>
          <w:rFonts w:ascii="Century Gothic" w:hAnsi="Century Gothic"/>
          <w:i/>
          <w:color w:val="1F497D" w:themeColor="dark2"/>
          <w:sz w:val="18"/>
        </w:rPr>
      </w:pPr>
    </w:p>
    <w:p w14:paraId="741921F6" w14:textId="77777777" w:rsidR="000C5810" w:rsidRDefault="000C5810" w:rsidP="000C5810">
      <w:pPr>
        <w:spacing w:after="0"/>
        <w:jc w:val="both"/>
        <w:rPr>
          <w:rFonts w:ascii="Century Gothic" w:hAnsi="Century Gothic"/>
          <w:i/>
          <w:color w:val="1F497D" w:themeColor="dark2"/>
          <w:sz w:val="18"/>
        </w:rPr>
      </w:pPr>
    </w:p>
    <w:p w14:paraId="0338D09C" w14:textId="77777777" w:rsidR="000C5810" w:rsidRPr="00032AD6" w:rsidRDefault="000C5810" w:rsidP="000C5810">
      <w:pPr>
        <w:spacing w:after="0"/>
        <w:jc w:val="both"/>
        <w:rPr>
          <w:rFonts w:ascii="Century Gothic" w:hAnsi="Century Gothic"/>
          <w:i/>
          <w:color w:val="1F497D" w:themeColor="dark2"/>
          <w:sz w:val="18"/>
        </w:rPr>
      </w:pPr>
    </w:p>
    <w:p w14:paraId="16FD2A13" w14:textId="051880AE" w:rsidR="000C5810" w:rsidRPr="00CB1B7C" w:rsidRDefault="000C5810" w:rsidP="00BE6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light1"/>
        <w:spacing w:after="0"/>
        <w:jc w:val="both"/>
        <w:rPr>
          <w:rFonts w:ascii="Century Gothic" w:hAnsi="Century Gothic"/>
          <w:color w:val="FF0000"/>
          <w:sz w:val="20"/>
        </w:rPr>
      </w:pPr>
      <w:r w:rsidRPr="00CB1B7C">
        <w:rPr>
          <w:rFonts w:ascii="Century Gothic" w:hAnsi="Century Gothic"/>
          <w:color w:val="FF0000"/>
          <w:sz w:val="20"/>
        </w:rPr>
        <w:t>A noter que cette « notice » doit être remise à chaque salarié lors de l’embauche, en application de la section 1 du chapitre 3 de la convention collective de l’enseignement privé non lucratif IDCC n°3218 (CCEPNL).</w:t>
      </w:r>
    </w:p>
    <w:p w14:paraId="00DF9022" w14:textId="624226CF" w:rsidR="000C5810" w:rsidRDefault="000C5810" w:rsidP="000C5810">
      <w:pPr>
        <w:shd w:val="clear" w:color="auto" w:fill="FFFFFF" w:themeFill="light1"/>
        <w:spacing w:after="0" w:line="164" w:lineRule="atLeast"/>
        <w:ind w:right="-144"/>
        <w:jc w:val="both"/>
      </w:pPr>
    </w:p>
    <w:p w14:paraId="1ED7B0C9" w14:textId="53A5E3D6" w:rsidR="00AC5CB3" w:rsidRDefault="00AC5CB3" w:rsidP="000C5810">
      <w:pPr>
        <w:shd w:val="clear" w:color="auto" w:fill="FFFFFF" w:themeFill="light1"/>
        <w:spacing w:after="0" w:line="164" w:lineRule="atLeast"/>
        <w:ind w:right="-144"/>
        <w:jc w:val="both"/>
      </w:pPr>
    </w:p>
    <w:sectPr w:rsidR="00AC5CB3" w:rsidSect="00751667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1418" w:right="1134" w:bottom="425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FA36C" w14:textId="77777777" w:rsidR="007063AB" w:rsidRDefault="007063AB">
      <w:pPr>
        <w:spacing w:after="0" w:line="240" w:lineRule="auto"/>
      </w:pPr>
      <w:r>
        <w:separator/>
      </w:r>
    </w:p>
  </w:endnote>
  <w:endnote w:type="continuationSeparator" w:id="0">
    <w:p w14:paraId="245CDAF2" w14:textId="77777777" w:rsidR="007063AB" w:rsidRDefault="0070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CF92" w14:textId="77777777" w:rsidR="008D7AAF" w:rsidRDefault="008D7A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692E4" w14:textId="77777777" w:rsidR="008D7AAF" w:rsidRDefault="008D7AA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1C727" w14:textId="77777777" w:rsidR="008D7AAF" w:rsidRDefault="008D7A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506F0" w14:textId="77777777" w:rsidR="007063AB" w:rsidRDefault="007063AB">
      <w:pPr>
        <w:spacing w:after="0" w:line="240" w:lineRule="auto"/>
      </w:pPr>
      <w:r>
        <w:separator/>
      </w:r>
    </w:p>
  </w:footnote>
  <w:footnote w:type="continuationSeparator" w:id="0">
    <w:p w14:paraId="5FC4B406" w14:textId="77777777" w:rsidR="007063AB" w:rsidRDefault="007063AB">
      <w:pPr>
        <w:spacing w:after="0" w:line="240" w:lineRule="auto"/>
      </w:pPr>
      <w:r>
        <w:continuationSeparator/>
      </w:r>
    </w:p>
  </w:footnote>
  <w:footnote w:id="1">
    <w:p w14:paraId="2B13759D" w14:textId="77777777" w:rsidR="00074867" w:rsidRDefault="00074867" w:rsidP="00074867">
      <w:pPr>
        <w:pStyle w:val="Notedebasdepage"/>
      </w:pPr>
      <w:r>
        <w:rPr>
          <w:rStyle w:val="Appelnotedebasdep"/>
        </w:rPr>
        <w:footnoteRef/>
      </w:r>
      <w:r>
        <w:t xml:space="preserve"> Rédigé par la CPPNI EPNL du 25 avril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2B38C" w14:textId="53CD37A4" w:rsidR="008D7AAF" w:rsidRDefault="00000000">
    <w:pPr>
      <w:pStyle w:val="En-tte"/>
    </w:pPr>
    <w:r>
      <w:rPr>
        <w:noProof/>
      </w:rPr>
      <w:pict w14:anchorId="586C74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2987751" o:spid="_x0000_s1026" type="#_x0000_t136" style="position:absolute;margin-left:0;margin-top:0;width:452.95pt;height:226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C9424" w14:textId="34C563F3" w:rsidR="008D7AAF" w:rsidRDefault="00000000">
    <w:pPr>
      <w:pStyle w:val="En-tte"/>
    </w:pPr>
    <w:r>
      <w:rPr>
        <w:noProof/>
      </w:rPr>
      <w:pict w14:anchorId="0118F0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2987752" o:spid="_x0000_s1027" type="#_x0000_t136" style="position:absolute;margin-left:0;margin-top:0;width:452.95pt;height:226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54153" w14:textId="0DF7B221" w:rsidR="008D7AAF" w:rsidRDefault="00000000">
    <w:pPr>
      <w:pStyle w:val="En-tte"/>
    </w:pPr>
    <w:r>
      <w:rPr>
        <w:noProof/>
      </w:rPr>
      <w:pict w14:anchorId="4D6DF2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2987750" o:spid="_x0000_s1025" type="#_x0000_t136" style="position:absolute;margin-left:0;margin-top:0;width:452.95pt;height:226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multilevel"/>
    <w:tmpl w:val="9E721542"/>
    <w:lvl w:ilvl="0">
      <w:start w:val="1"/>
      <w:numFmt w:val="decimal"/>
      <w:pStyle w:val="Tiret"/>
      <w:lvlText w:val="*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55C57E3"/>
    <w:multiLevelType w:val="multilevel"/>
    <w:tmpl w:val="54EE7F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8FF4790"/>
    <w:multiLevelType w:val="multilevel"/>
    <w:tmpl w:val="73CCB2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DED754D"/>
    <w:multiLevelType w:val="multilevel"/>
    <w:tmpl w:val="B97E9A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FD31DAB"/>
    <w:multiLevelType w:val="multilevel"/>
    <w:tmpl w:val="382E84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260A0DCE"/>
    <w:multiLevelType w:val="multilevel"/>
    <w:tmpl w:val="2118F6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26EF52D7"/>
    <w:multiLevelType w:val="multilevel"/>
    <w:tmpl w:val="C0A043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381B15E3"/>
    <w:multiLevelType w:val="hybridMultilevel"/>
    <w:tmpl w:val="6B12F1DA"/>
    <w:lvl w:ilvl="0" w:tplc="5A3E80B0">
      <w:start w:val="1"/>
      <w:numFmt w:val="upperRoman"/>
      <w:lvlText w:val="%1.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A1299"/>
    <w:multiLevelType w:val="multilevel"/>
    <w:tmpl w:val="E3084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3F3D5843"/>
    <w:multiLevelType w:val="multilevel"/>
    <w:tmpl w:val="40AC7F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446F0914"/>
    <w:multiLevelType w:val="hybridMultilevel"/>
    <w:tmpl w:val="41B057D0"/>
    <w:lvl w:ilvl="0" w:tplc="5A3E80B0">
      <w:start w:val="1"/>
      <w:numFmt w:val="upperRoman"/>
      <w:lvlText w:val="%1.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840B7"/>
    <w:multiLevelType w:val="hybridMultilevel"/>
    <w:tmpl w:val="40FA165E"/>
    <w:lvl w:ilvl="0" w:tplc="B6EE69FA">
      <w:start w:val="1"/>
      <w:numFmt w:val="upperRoman"/>
      <w:lvlText w:val="%1.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43F75"/>
    <w:multiLevelType w:val="hybridMultilevel"/>
    <w:tmpl w:val="59685C10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alibri" w:hAnsi="Calibri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0F96F03"/>
    <w:multiLevelType w:val="multilevel"/>
    <w:tmpl w:val="95102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65AF49B6"/>
    <w:multiLevelType w:val="multilevel"/>
    <w:tmpl w:val="3D56A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69291F7D"/>
    <w:multiLevelType w:val="multilevel"/>
    <w:tmpl w:val="F3D4B1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6EBA2B13"/>
    <w:multiLevelType w:val="multilevel"/>
    <w:tmpl w:val="41105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707F065B"/>
    <w:multiLevelType w:val="multilevel"/>
    <w:tmpl w:val="B7B050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715F13D5"/>
    <w:multiLevelType w:val="multilevel"/>
    <w:tmpl w:val="723E32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76DD5AEC"/>
    <w:multiLevelType w:val="multilevel"/>
    <w:tmpl w:val="8CCE4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7D9A4A87"/>
    <w:multiLevelType w:val="hybridMultilevel"/>
    <w:tmpl w:val="EC4E2682"/>
    <w:lvl w:ilvl="0" w:tplc="DB18E89A">
      <w:start w:val="1"/>
      <w:numFmt w:val="upperRoman"/>
      <w:lvlText w:val="%1.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A5D54"/>
    <w:multiLevelType w:val="multilevel"/>
    <w:tmpl w:val="9162D7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7E89274A"/>
    <w:multiLevelType w:val="hybridMultilevel"/>
    <w:tmpl w:val="853AA118"/>
    <w:lvl w:ilvl="0" w:tplc="00000001">
      <w:start w:val="1"/>
      <w:numFmt w:val="bullet"/>
      <w:lvlText w:val="-"/>
      <w:lvlJc w:val="left"/>
      <w:pPr>
        <w:ind w:left="1034" w:hanging="360"/>
      </w:pPr>
      <w:rPr>
        <w:rFonts w:ascii="Calibri" w:hAnsi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num w:numId="1" w16cid:durableId="694114361">
    <w:abstractNumId w:val="2"/>
  </w:num>
  <w:num w:numId="2" w16cid:durableId="1076132268">
    <w:abstractNumId w:val="17"/>
  </w:num>
  <w:num w:numId="3" w16cid:durableId="495146308">
    <w:abstractNumId w:val="21"/>
  </w:num>
  <w:num w:numId="4" w16cid:durableId="1253398484">
    <w:abstractNumId w:val="4"/>
  </w:num>
  <w:num w:numId="5" w16cid:durableId="457340827">
    <w:abstractNumId w:val="8"/>
  </w:num>
  <w:num w:numId="6" w16cid:durableId="633103409">
    <w:abstractNumId w:val="3"/>
  </w:num>
  <w:num w:numId="7" w16cid:durableId="2121877654">
    <w:abstractNumId w:val="5"/>
  </w:num>
  <w:num w:numId="8" w16cid:durableId="588200771">
    <w:abstractNumId w:val="19"/>
  </w:num>
  <w:num w:numId="9" w16cid:durableId="2126734445">
    <w:abstractNumId w:val="18"/>
  </w:num>
  <w:num w:numId="10" w16cid:durableId="1571689597">
    <w:abstractNumId w:val="13"/>
  </w:num>
  <w:num w:numId="11" w16cid:durableId="1728453468">
    <w:abstractNumId w:val="9"/>
  </w:num>
  <w:num w:numId="12" w16cid:durableId="243226629">
    <w:abstractNumId w:val="14"/>
  </w:num>
  <w:num w:numId="13" w16cid:durableId="1521508952">
    <w:abstractNumId w:val="15"/>
  </w:num>
  <w:num w:numId="14" w16cid:durableId="552427008">
    <w:abstractNumId w:val="6"/>
  </w:num>
  <w:num w:numId="15" w16cid:durableId="98525382">
    <w:abstractNumId w:val="0"/>
  </w:num>
  <w:num w:numId="16" w16cid:durableId="1733115672">
    <w:abstractNumId w:val="16"/>
  </w:num>
  <w:num w:numId="17" w16cid:durableId="308437860">
    <w:abstractNumId w:val="20"/>
  </w:num>
  <w:num w:numId="18" w16cid:durableId="350766361">
    <w:abstractNumId w:val="11"/>
  </w:num>
  <w:num w:numId="19" w16cid:durableId="211888554">
    <w:abstractNumId w:val="7"/>
  </w:num>
  <w:num w:numId="20" w16cid:durableId="207496465">
    <w:abstractNumId w:val="10"/>
  </w:num>
  <w:num w:numId="21" w16cid:durableId="1437628319">
    <w:abstractNumId w:val="12"/>
  </w:num>
  <w:num w:numId="22" w16cid:durableId="358121295">
    <w:abstractNumId w:val="1"/>
  </w:num>
  <w:num w:numId="23" w16cid:durableId="4830899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486"/>
    <w:rsid w:val="000249D1"/>
    <w:rsid w:val="00074867"/>
    <w:rsid w:val="000C5810"/>
    <w:rsid w:val="000F4295"/>
    <w:rsid w:val="000F64AA"/>
    <w:rsid w:val="000F7DA4"/>
    <w:rsid w:val="001A4970"/>
    <w:rsid w:val="002611E2"/>
    <w:rsid w:val="002A34F6"/>
    <w:rsid w:val="002A49FF"/>
    <w:rsid w:val="003E5BEB"/>
    <w:rsid w:val="0048302E"/>
    <w:rsid w:val="004F4EB1"/>
    <w:rsid w:val="00503C63"/>
    <w:rsid w:val="005238B7"/>
    <w:rsid w:val="00532B0A"/>
    <w:rsid w:val="00584F59"/>
    <w:rsid w:val="005905B3"/>
    <w:rsid w:val="005C0679"/>
    <w:rsid w:val="005E5F3D"/>
    <w:rsid w:val="00624D1B"/>
    <w:rsid w:val="006429A5"/>
    <w:rsid w:val="00670E2B"/>
    <w:rsid w:val="00693F86"/>
    <w:rsid w:val="00694F8D"/>
    <w:rsid w:val="006B36BA"/>
    <w:rsid w:val="006C64C2"/>
    <w:rsid w:val="006D5486"/>
    <w:rsid w:val="007063AB"/>
    <w:rsid w:val="00751667"/>
    <w:rsid w:val="00764598"/>
    <w:rsid w:val="00792470"/>
    <w:rsid w:val="007F3744"/>
    <w:rsid w:val="00810E36"/>
    <w:rsid w:val="00831386"/>
    <w:rsid w:val="008604CC"/>
    <w:rsid w:val="00875ECD"/>
    <w:rsid w:val="008B13F2"/>
    <w:rsid w:val="008C6AC9"/>
    <w:rsid w:val="008D7AAF"/>
    <w:rsid w:val="008F6D26"/>
    <w:rsid w:val="00976297"/>
    <w:rsid w:val="009840F8"/>
    <w:rsid w:val="009B2A31"/>
    <w:rsid w:val="009C6179"/>
    <w:rsid w:val="009C7242"/>
    <w:rsid w:val="009F7C48"/>
    <w:rsid w:val="00A36B60"/>
    <w:rsid w:val="00AB19D0"/>
    <w:rsid w:val="00AC5CB3"/>
    <w:rsid w:val="00AD248B"/>
    <w:rsid w:val="00AF120C"/>
    <w:rsid w:val="00B610C7"/>
    <w:rsid w:val="00BA52BA"/>
    <w:rsid w:val="00BB45EE"/>
    <w:rsid w:val="00BB7051"/>
    <w:rsid w:val="00BE6702"/>
    <w:rsid w:val="00C204FF"/>
    <w:rsid w:val="00C41111"/>
    <w:rsid w:val="00C74179"/>
    <w:rsid w:val="00C75FEE"/>
    <w:rsid w:val="00C80377"/>
    <w:rsid w:val="00CB1105"/>
    <w:rsid w:val="00CB1B7C"/>
    <w:rsid w:val="00D0615E"/>
    <w:rsid w:val="00D10F2E"/>
    <w:rsid w:val="00D271BC"/>
    <w:rsid w:val="00D549DF"/>
    <w:rsid w:val="00D72776"/>
    <w:rsid w:val="00DA41F9"/>
    <w:rsid w:val="00DC13A0"/>
    <w:rsid w:val="00DF5B77"/>
    <w:rsid w:val="00E53B76"/>
    <w:rsid w:val="00E91A6A"/>
    <w:rsid w:val="00EA666B"/>
    <w:rsid w:val="00F555B6"/>
    <w:rsid w:val="00F77122"/>
    <w:rsid w:val="3CD5F781"/>
    <w:rsid w:val="6893B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95C2C"/>
  <w15:docId w15:val="{88634E02-FEDA-4C0C-BDAA-36DA64CF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color w:val="365F91" w:themeColor="accent1" w:themeShade="BF"/>
      <w:sz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40" w:after="0"/>
      <w:outlineLvl w:val="1"/>
    </w:pPr>
    <w:rPr>
      <w:color w:val="365F91" w:themeColor="accent1" w:themeShade="BF"/>
      <w:sz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0" w:after="0"/>
      <w:outlineLvl w:val="2"/>
    </w:pPr>
    <w:rPr>
      <w:b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Notedebasdepage">
    <w:name w:val="footnote text"/>
    <w:link w:val="NotedebasdepageCar1"/>
    <w:semiHidden/>
    <w:pPr>
      <w:spacing w:after="0" w:line="240" w:lineRule="auto"/>
    </w:pPr>
    <w:rPr>
      <w:sz w:val="20"/>
    </w:rPr>
  </w:style>
  <w:style w:type="paragraph" w:styleId="Textedebulles">
    <w:name w:val="Balloon Text"/>
    <w:basedOn w:val="Normal"/>
    <w:link w:val="TextedebullesCar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Default">
    <w:name w:val="Default"/>
    <w:pPr>
      <w:spacing w:after="0" w:line="240" w:lineRule="auto"/>
    </w:pPr>
    <w:rPr>
      <w:rFonts w:ascii="Arial" w:hAnsi="Arial"/>
      <w:color w:val="000000"/>
      <w:sz w:val="24"/>
    </w:rPr>
  </w:style>
  <w:style w:type="paragraph" w:customStyle="1" w:styleId="Notabene">
    <w:name w:val="Nota bene"/>
    <w:basedOn w:val="Normal"/>
    <w:pPr>
      <w:tabs>
        <w:tab w:val="left" w:pos="1418"/>
      </w:tabs>
      <w:spacing w:after="0" w:line="320" w:lineRule="exact"/>
      <w:ind w:left="1418" w:hanging="567"/>
      <w:jc w:val="both"/>
    </w:pPr>
    <w:rPr>
      <w:rFonts w:ascii="Times New Roman" w:hAnsi="Times New Roman"/>
      <w:i/>
      <w:color w:val="000080"/>
      <w:sz w:val="20"/>
    </w:rPr>
  </w:style>
  <w:style w:type="paragraph" w:customStyle="1" w:styleId="Tiret">
    <w:name w:val="Tiret"/>
    <w:basedOn w:val="Normal"/>
    <w:link w:val="TiretCar"/>
    <w:pPr>
      <w:numPr>
        <w:numId w:val="15"/>
      </w:numPr>
      <w:tabs>
        <w:tab w:val="left" w:pos="227"/>
      </w:tabs>
      <w:spacing w:after="0" w:line="320" w:lineRule="exact"/>
      <w:ind w:left="1078"/>
      <w:jc w:val="both"/>
    </w:pPr>
    <w:rPr>
      <w:rFonts w:ascii="Times New Roman" w:hAnsi="Times New Roman"/>
      <w:sz w:val="24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pPr>
      <w:ind w:left="720"/>
      <w:contextualSpacing/>
    </w:pPr>
    <w:rPr>
      <w:lang w:eastAsia="en-US"/>
    </w:rPr>
  </w:style>
  <w:style w:type="paragraph" w:styleId="Sansinterligne">
    <w:name w:val="No Spacing"/>
    <w:pPr>
      <w:spacing w:after="0" w:line="240" w:lineRule="auto"/>
    </w:pPr>
  </w:style>
  <w:style w:type="paragraph" w:styleId="En-ttedetabledesmatires">
    <w:name w:val="TOC Heading"/>
    <w:basedOn w:val="Titre1"/>
    <w:next w:val="Normal"/>
    <w:pPr>
      <w:spacing w:line="259" w:lineRule="auto"/>
      <w:outlineLvl w:val="9"/>
    </w:pPr>
  </w:style>
  <w:style w:type="paragraph" w:styleId="TM1">
    <w:name w:val="toc 1"/>
    <w:basedOn w:val="Normal"/>
    <w:next w:val="Normal"/>
    <w:pPr>
      <w:spacing w:after="100"/>
    </w:pPr>
  </w:style>
  <w:style w:type="paragraph" w:styleId="TM2">
    <w:name w:val="toc 2"/>
    <w:basedOn w:val="Normal"/>
    <w:next w:val="Normal"/>
    <w:pPr>
      <w:spacing w:after="100"/>
      <w:ind w:left="220"/>
    </w:pPr>
  </w:style>
  <w:style w:type="paragraph" w:styleId="Corpsdetexte">
    <w:name w:val="Body Text"/>
    <w:basedOn w:val="Normal"/>
    <w:link w:val="CorpsdetexteCar"/>
    <w:semiHidden/>
    <w:pPr>
      <w:spacing w:after="120" w:line="240" w:lineRule="auto"/>
    </w:pPr>
    <w:rPr>
      <w:rFonts w:ascii="Times New Roman" w:hAnsi="Times New Roman"/>
      <w:sz w:val="24"/>
    </w:rPr>
  </w:style>
  <w:style w:type="paragraph" w:styleId="Corpsdetexte3">
    <w:name w:val="Body Text 3"/>
    <w:basedOn w:val="Normal"/>
    <w:link w:val="Corpsdetexte3Car"/>
    <w:semiHidden/>
    <w:pPr>
      <w:spacing w:after="120" w:line="240" w:lineRule="auto"/>
    </w:pPr>
    <w:rPr>
      <w:rFonts w:ascii="Times New Roman" w:hAnsi="Times New Roman"/>
      <w:sz w:val="16"/>
    </w:rPr>
  </w:style>
  <w:style w:type="paragraph" w:styleId="Notedefin">
    <w:name w:val="endnote text"/>
    <w:link w:val="NotedefinCar"/>
    <w:semiHidden/>
    <w:pPr>
      <w:spacing w:after="0" w:line="240" w:lineRule="auto"/>
    </w:pPr>
    <w:rPr>
      <w:sz w:val="20"/>
    </w:rPr>
  </w:style>
  <w:style w:type="character" w:styleId="Numrodeligne">
    <w:name w:val="line number"/>
    <w:basedOn w:val="Policepardfaut"/>
    <w:semiHidden/>
  </w:style>
  <w:style w:type="character" w:styleId="Lienhypertexte">
    <w:name w:val="Hyperlink"/>
    <w:basedOn w:val="Policepardfaut"/>
    <w:rPr>
      <w:color w:val="0000FF"/>
      <w:u w:val="single"/>
    </w:rPr>
  </w:style>
  <w:style w:type="character" w:customStyle="1" w:styleId="apple-converted-space">
    <w:name w:val="apple-converted-space"/>
    <w:basedOn w:val="Policepardfaut"/>
  </w:style>
  <w:style w:type="character" w:customStyle="1" w:styleId="NotedebasdepageCar">
    <w:name w:val="Note de bas de page Car"/>
    <w:basedOn w:val="Policepardfaut"/>
    <w:semiHidden/>
    <w:rPr>
      <w:smallCaps w:val="0"/>
      <w:snapToGrid/>
      <w:spacing w:val="0"/>
      <w:w w:val="100"/>
      <w:position w:val="0"/>
      <w:sz w:val="20"/>
      <w:szCs w:val="22"/>
      <w:cs w:val="0"/>
    </w:rPr>
  </w:style>
  <w:style w:type="character" w:styleId="Appelnotedebasdep">
    <w:name w:val="footnote reference"/>
    <w:semiHidden/>
    <w:rPr>
      <w:vertAlign w:val="superscript"/>
    </w:rPr>
  </w:style>
  <w:style w:type="character" w:customStyle="1" w:styleId="TextedebullesCar">
    <w:name w:val="Texte de bulles Car"/>
    <w:basedOn w:val="Policepardfaut"/>
    <w:link w:val="Textedebulles"/>
    <w:semiHidden/>
    <w:rPr>
      <w:rFonts w:ascii="Tahoma" w:hAnsi="Tahoma"/>
      <w:smallCaps w:val="0"/>
      <w:snapToGrid/>
      <w:spacing w:val="0"/>
      <w:w w:val="100"/>
      <w:position w:val="0"/>
      <w:sz w:val="16"/>
      <w:szCs w:val="22"/>
      <w:cs w:val="0"/>
    </w:rPr>
  </w:style>
  <w:style w:type="character" w:customStyle="1" w:styleId="TiretCar">
    <w:name w:val="Tiret Car"/>
    <w:basedOn w:val="Policepardfaut"/>
    <w:link w:val="Tiret"/>
    <w:rPr>
      <w:rFonts w:ascii="Times New Roman" w:hAnsi="Times New Roman"/>
      <w:smallCaps w:val="0"/>
      <w:snapToGrid/>
      <w:spacing w:val="0"/>
      <w:w w:val="100"/>
      <w:position w:val="0"/>
      <w:sz w:val="24"/>
      <w:szCs w:val="22"/>
      <w:cs w:val="0"/>
    </w:rPr>
  </w:style>
  <w:style w:type="character" w:customStyle="1" w:styleId="Titre3Car">
    <w:name w:val="Titre 3 Car"/>
    <w:basedOn w:val="Policepardfaut"/>
    <w:link w:val="Titre3"/>
    <w:rPr>
      <w:b/>
      <w:bCs w:val="0"/>
      <w:color w:val="4F81BD" w:themeColor="accent1"/>
    </w:rPr>
  </w:style>
  <w:style w:type="character" w:customStyle="1" w:styleId="En-tteCar">
    <w:name w:val="En-tête Car"/>
    <w:basedOn w:val="Policepardfaut"/>
    <w:link w:val="En-tte"/>
  </w:style>
  <w:style w:type="character" w:customStyle="1" w:styleId="PieddepageCar">
    <w:name w:val="Pied de page Car"/>
    <w:basedOn w:val="Policepardfaut"/>
    <w:link w:val="Pieddepage"/>
  </w:style>
  <w:style w:type="character" w:customStyle="1" w:styleId="Titre1Car">
    <w:name w:val="Titre 1 Car"/>
    <w:basedOn w:val="Policepardfaut"/>
    <w:link w:val="Titre1"/>
    <w:rPr>
      <w:smallCaps w:val="0"/>
      <w:snapToGrid/>
      <w:color w:val="365F91" w:themeColor="accent1" w:themeShade="BF"/>
      <w:spacing w:val="0"/>
      <w:w w:val="100"/>
      <w:position w:val="0"/>
      <w:sz w:val="32"/>
      <w:szCs w:val="22"/>
      <w:cs w:val="0"/>
    </w:rPr>
  </w:style>
  <w:style w:type="character" w:customStyle="1" w:styleId="Titre2Car">
    <w:name w:val="Titre 2 Car"/>
    <w:basedOn w:val="Policepardfaut"/>
    <w:link w:val="Titre2"/>
    <w:rPr>
      <w:smallCaps w:val="0"/>
      <w:snapToGrid/>
      <w:color w:val="365F91" w:themeColor="accent1" w:themeShade="BF"/>
      <w:spacing w:val="0"/>
      <w:w w:val="100"/>
      <w:position w:val="0"/>
      <w:sz w:val="26"/>
      <w:szCs w:val="22"/>
      <w:cs w:val="0"/>
    </w:rPr>
  </w:style>
  <w:style w:type="character" w:customStyle="1" w:styleId="CorpsdetexteCar">
    <w:name w:val="Corps de texte Car"/>
    <w:basedOn w:val="Policepardfaut"/>
    <w:link w:val="Corpsdetexte"/>
    <w:semiHidden/>
    <w:rPr>
      <w:rFonts w:ascii="Times New Roman" w:hAnsi="Times New Roman"/>
      <w:smallCaps w:val="0"/>
      <w:snapToGrid/>
      <w:spacing w:val="0"/>
      <w:w w:val="100"/>
      <w:position w:val="0"/>
      <w:sz w:val="24"/>
      <w:szCs w:val="22"/>
      <w:cs w:val="0"/>
    </w:rPr>
  </w:style>
  <w:style w:type="character" w:customStyle="1" w:styleId="Corpsdetexte3Car">
    <w:name w:val="Corps de texte 3 Car"/>
    <w:basedOn w:val="Policepardfaut"/>
    <w:link w:val="Corpsdetexte3"/>
    <w:semiHidden/>
    <w:rPr>
      <w:rFonts w:ascii="Times New Roman" w:hAnsi="Times New Roman"/>
      <w:smallCaps w:val="0"/>
      <w:snapToGrid/>
      <w:spacing w:val="0"/>
      <w:w w:val="100"/>
      <w:position w:val="0"/>
      <w:sz w:val="16"/>
      <w:szCs w:val="22"/>
      <w:cs w:val="0"/>
    </w:rPr>
  </w:style>
  <w:style w:type="character" w:styleId="lev">
    <w:name w:val="Strong"/>
    <w:basedOn w:val="Policepardfaut"/>
    <w:rPr>
      <w:b/>
      <w:bCs w:val="0"/>
    </w:rPr>
  </w:style>
  <w:style w:type="character" w:customStyle="1" w:styleId="Mention1">
    <w:name w:val="Mention1"/>
    <w:basedOn w:val="Policepardfaut"/>
    <w:semiHidden/>
    <w:rPr>
      <w:color w:val="2B579A"/>
      <w:shd w:val="clear" w:color="auto" w:fill="E6E6E6"/>
    </w:rPr>
  </w:style>
  <w:style w:type="character" w:styleId="Lienhypertextesuivivisit">
    <w:name w:val="FollowedHyperlink"/>
    <w:basedOn w:val="Policepardfaut"/>
    <w:semiHidden/>
    <w:rPr>
      <w:color w:val="800080" w:themeColor="followedHyperlink"/>
      <w:u w:val="single"/>
    </w:rPr>
  </w:style>
  <w:style w:type="character" w:customStyle="1" w:styleId="NotedebasdepageCar1">
    <w:name w:val="Note de bas de page Car1"/>
    <w:link w:val="Notedebasdepage"/>
    <w:semiHidden/>
    <w:rPr>
      <w:smallCaps w:val="0"/>
      <w:snapToGrid/>
      <w:spacing w:val="0"/>
      <w:w w:val="100"/>
      <w:position w:val="0"/>
      <w:sz w:val="20"/>
      <w:szCs w:val="22"/>
      <w:cs w:val="0"/>
    </w:rPr>
  </w:style>
  <w:style w:type="character" w:styleId="Appeldenotedefin">
    <w:name w:val="endnote reference"/>
    <w:semiHidden/>
    <w:rPr>
      <w:vertAlign w:val="superscript"/>
    </w:rPr>
  </w:style>
  <w:style w:type="character" w:customStyle="1" w:styleId="NotedefinCar">
    <w:name w:val="Note de fin Car"/>
    <w:link w:val="Notedefin"/>
    <w:semiHidden/>
    <w:rPr>
      <w:smallCaps w:val="0"/>
      <w:snapToGrid/>
      <w:spacing w:val="0"/>
      <w:w w:val="100"/>
      <w:position w:val="0"/>
      <w:sz w:val="20"/>
      <w:szCs w:val="22"/>
      <w:cs w:val="0"/>
    </w:rPr>
  </w:style>
  <w:style w:type="table" w:styleId="Tableausimple1">
    <w:name w:val="Table Simple 1"/>
    <w:basedOn w:val="Tableau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pPr>
      <w:spacing w:after="0" w:line="240" w:lineRule="auto"/>
    </w:pPr>
    <w:tblPr>
      <w:tblBorders>
        <w:top w:val="single" w:sz="4" w:space="0" w:color="000000" w:themeColor="dark1"/>
        <w:left w:val="single" w:sz="4" w:space="0" w:color="000000" w:themeColor="dark1"/>
        <w:bottom w:val="single" w:sz="4" w:space="0" w:color="000000" w:themeColor="dark1"/>
        <w:right w:val="single" w:sz="4" w:space="0" w:color="000000" w:themeColor="dark1"/>
        <w:insideH w:val="single" w:sz="4" w:space="0" w:color="000000" w:themeColor="dark1"/>
        <w:insideV w:val="single" w:sz="4" w:space="0" w:color="000000" w:themeColor="dark1"/>
      </w:tblBorders>
    </w:tblPr>
  </w:style>
  <w:style w:type="table" w:customStyle="1" w:styleId="Grilledutableau1">
    <w:name w:val="Grille du tableau1"/>
    <w:basedOn w:val="TableauNormal"/>
    <w:pPr>
      <w:spacing w:after="0" w:line="240" w:lineRule="auto"/>
    </w:pPr>
    <w:tblPr>
      <w:tblBorders>
        <w:top w:val="single" w:sz="4" w:space="0" w:color="000000" w:themeColor="dark1"/>
        <w:left w:val="single" w:sz="4" w:space="0" w:color="000000" w:themeColor="dark1"/>
        <w:bottom w:val="single" w:sz="4" w:space="0" w:color="000000" w:themeColor="dark1"/>
        <w:right w:val="single" w:sz="4" w:space="0" w:color="000000" w:themeColor="dark1"/>
        <w:insideH w:val="single" w:sz="4" w:space="0" w:color="000000" w:themeColor="dark1"/>
        <w:insideV w:val="single" w:sz="4" w:space="0" w:color="000000" w:themeColor="dark1"/>
      </w:tblBorders>
    </w:tblPr>
  </w:style>
  <w:style w:type="table" w:customStyle="1" w:styleId="Grilledutableau2">
    <w:name w:val="Grille du tableau2"/>
    <w:basedOn w:val="TableauNormal"/>
    <w:pPr>
      <w:spacing w:after="0" w:line="240" w:lineRule="auto"/>
    </w:pPr>
    <w:tblPr>
      <w:tblBorders>
        <w:top w:val="single" w:sz="4" w:space="0" w:color="000000" w:themeColor="dark1"/>
        <w:left w:val="single" w:sz="4" w:space="0" w:color="000000" w:themeColor="dark1"/>
        <w:bottom w:val="single" w:sz="4" w:space="0" w:color="000000" w:themeColor="dark1"/>
        <w:right w:val="single" w:sz="4" w:space="0" w:color="000000" w:themeColor="dark1"/>
        <w:insideH w:val="single" w:sz="4" w:space="0" w:color="000000" w:themeColor="dark1"/>
        <w:insideV w:val="single" w:sz="4" w:space="0" w:color="000000" w:themeColor="dark1"/>
      </w:tblBorders>
    </w:tblPr>
  </w:style>
  <w:style w:type="table" w:customStyle="1" w:styleId="Grilledutableau3">
    <w:name w:val="Grille du tableau3"/>
    <w:basedOn w:val="TableauNormal"/>
    <w:pPr>
      <w:spacing w:after="0" w:line="240" w:lineRule="auto"/>
    </w:pPr>
    <w:tblPr>
      <w:tblBorders>
        <w:top w:val="single" w:sz="4" w:space="0" w:color="000000" w:themeColor="dark1"/>
        <w:left w:val="single" w:sz="4" w:space="0" w:color="000000" w:themeColor="dark1"/>
        <w:bottom w:val="single" w:sz="4" w:space="0" w:color="000000" w:themeColor="dark1"/>
        <w:right w:val="single" w:sz="4" w:space="0" w:color="000000" w:themeColor="dark1"/>
        <w:insideH w:val="single" w:sz="4" w:space="0" w:color="000000" w:themeColor="dark1"/>
        <w:insideV w:val="single" w:sz="4" w:space="0" w:color="000000" w:themeColor="dark1"/>
      </w:tblBorders>
    </w:tblPr>
  </w:style>
  <w:style w:type="table" w:customStyle="1" w:styleId="Grilledutableau11">
    <w:name w:val="Grille du tableau11"/>
    <w:basedOn w:val="TableauNormal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pPr>
      <w:spacing w:after="0" w:line="240" w:lineRule="auto"/>
    </w:pPr>
    <w:tblPr>
      <w:tblBorders>
        <w:top w:val="single" w:sz="4" w:space="0" w:color="000000" w:themeColor="dark1"/>
        <w:left w:val="single" w:sz="4" w:space="0" w:color="000000" w:themeColor="dark1"/>
        <w:bottom w:val="single" w:sz="4" w:space="0" w:color="000000" w:themeColor="dark1"/>
        <w:right w:val="single" w:sz="4" w:space="0" w:color="000000" w:themeColor="dark1"/>
        <w:insideH w:val="single" w:sz="4" w:space="0" w:color="000000" w:themeColor="dark1"/>
        <w:insideV w:val="single" w:sz="4" w:space="0" w:color="000000" w:themeColor="dark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A49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A49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A49F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49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49FF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C20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gifrance.gouv.fr/conv_coll/id/KALITEXT000047052042/?idConteneur=KALICONT000043874879&amp;origin=list" TargetMode="External"/><Relationship Id="rId18" Type="http://schemas.openxmlformats.org/officeDocument/2006/relationships/hyperlink" Target="https://www.legifrance.gouv.fr/conv_coll/id/KALITEXT000046366575/?idConteneur=KALICONT000043874879&amp;origin=list" TargetMode="External"/><Relationship Id="rId26" Type="http://schemas.openxmlformats.org/officeDocument/2006/relationships/hyperlink" Target="https://infos.isidoor.org/wp-content/uploads/280324-AccordClassificationEPNL-_CQPCVSM2023.pdf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legifrance.gouv.fr/conv_coll/id/KALITEXT000046100261/?idConteneur=KALICONT000046143415" TargetMode="External"/><Relationship Id="rId34" Type="http://schemas.openxmlformats.org/officeDocument/2006/relationships/hyperlink" Target="https://infos.isidoor.org/wp-content/uploads/2022.01.31-reco-assureurs.pdf" TargetMode="External"/><Relationship Id="rId42" Type="http://schemas.openxmlformats.org/officeDocument/2006/relationships/footer" Target="foot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infos.isidoor.org/wp-content/uploads/accord-sur-les-equivalences-de-nuit.pdf" TargetMode="External"/><Relationship Id="rId29" Type="http://schemas.openxmlformats.org/officeDocument/2006/relationships/hyperlink" Target="https://infos.isidoor.org/wp-content/uploads/Avenant-Titre-expert-en-organisation-du-18-novembre-2014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france.gouv.fr/conv_coll/id/KALITEXT000048452779/?idConteneur=KALICONT000043874879&amp;origin=list" TargetMode="External"/><Relationship Id="rId24" Type="http://schemas.openxmlformats.org/officeDocument/2006/relationships/hyperlink" Target="https://infos.isidoor.org/wp-content/uploads/280324-AccordCreationEEP_CQPCVSM2023.pdf" TargetMode="External"/><Relationship Id="rId32" Type="http://schemas.openxmlformats.org/officeDocument/2006/relationships/image" Target="media/image2.png"/><Relationship Id="rId37" Type="http://schemas.openxmlformats.org/officeDocument/2006/relationships/hyperlink" Target="https://www.fnogec.org/politique-sociale/actualites/documents/accord-paritaire-affiliation-agirc-2-juillet-2013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infos.isidoor.org/wp-content/uploads/accord-relatif-au-travail-de-nuit.pdf" TargetMode="External"/><Relationship Id="rId23" Type="http://schemas.openxmlformats.org/officeDocument/2006/relationships/hyperlink" Target="https://www.legifrance.gouv.fr/conv_coll/id/KALITEXT000048452727/?idConteneur=KALICONT000043874879&amp;origin=list" TargetMode="External"/><Relationship Id="rId28" Type="http://schemas.openxmlformats.org/officeDocument/2006/relationships/hyperlink" Target="https://www.legifrance.gouv.fr/conv_coll/id/KALITEXT000048452749/?idConteneur=KALICONT000043874879&amp;origin=list" TargetMode="External"/><Relationship Id="rId36" Type="http://schemas.openxmlformats.org/officeDocument/2006/relationships/hyperlink" Target="https://infos.isidoor.org/wp-content/uploads/accord-NC-2-octobre-2013-1.pdf" TargetMode="External"/><Relationship Id="rId10" Type="http://schemas.openxmlformats.org/officeDocument/2006/relationships/hyperlink" Target="https://www.legifrance.gouv.fr/conv_coll/id/KALITEXT000049508760/?idConteneur=KALICONT000043874879&amp;origin=list" TargetMode="External"/><Relationship Id="rId19" Type="http://schemas.openxmlformats.org/officeDocument/2006/relationships/hyperlink" Target="https://www.legifrance.gouv.fr/conv_coll/id/KALITEXT000047052034/?idConteneur=KALICONT000043874879" TargetMode="External"/><Relationship Id="rId31" Type="http://schemas.openxmlformats.org/officeDocument/2006/relationships/hyperlink" Target="https://infos.isidoor.org/wp-content/uploads/280324-Avenant-Abondement-CPF-automatique-EEP.pdf" TargetMode="External"/><Relationship Id="rId44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nfos.isidoor.org/wp-content/uploads/22.09.01_recueil_interpretations_de_la_cppni_epnl.pdf" TargetMode="External"/><Relationship Id="rId22" Type="http://schemas.openxmlformats.org/officeDocument/2006/relationships/hyperlink" Target="https://www.legifrance.gouv.fr/conv_coll/id/KALITEXT000048452853/?idConteneur=KALICONT000048469835&amp;origin=list" TargetMode="External"/><Relationship Id="rId27" Type="http://schemas.openxmlformats.org/officeDocument/2006/relationships/hyperlink" Target="https://www.legifrance.gouv.fr/conv_coll/id/KALITEXT000048452883/?idConteneur=KALICONT000048469835&amp;origin=list" TargetMode="External"/><Relationship Id="rId30" Type="http://schemas.openxmlformats.org/officeDocument/2006/relationships/hyperlink" Target="https://infos.isidoor.org/wp-content/uploads/Accord-Interbranches-2022-Pro-A-projet-08-12-22-mis-en-signature.docx" TargetMode="External"/><Relationship Id="rId35" Type="http://schemas.openxmlformats.org/officeDocument/2006/relationships/hyperlink" Target="https://infos.isidoor.org/wp-content/uploads/Avenant-n%C2%B02-du-27.11.2023-a-laccord-collectif-EEP-Sante-1-2.pdf" TargetMode="External"/><Relationship Id="rId43" Type="http://schemas.openxmlformats.org/officeDocument/2006/relationships/header" Target="head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infos.isidoor.org/wp-content/uploads/2022-06-avenant-correctif-.pdf" TargetMode="External"/><Relationship Id="rId17" Type="http://schemas.openxmlformats.org/officeDocument/2006/relationships/hyperlink" Target="https://www.legifrance.gouv.fr/conv_coll/id/KALITEXT000048452844/?idConteneur=KALICONT000043874879&amp;origin=list" TargetMode="External"/><Relationship Id="rId25" Type="http://schemas.openxmlformats.org/officeDocument/2006/relationships/hyperlink" Target="https://www.legifrance.gouv.fr/conv_coll/id/KALITEXT000048452738/?idConteneur=KALICONT000043874879&amp;origin=list" TargetMode="External"/><Relationship Id="rId33" Type="http://schemas.openxmlformats.org/officeDocument/2006/relationships/hyperlink" Target="https://infos.isidoor.org/wp-content/uploads/2022.01.31-Accord-EEP-Sante-signe.pdf" TargetMode="External"/><Relationship Id="rId38" Type="http://schemas.openxmlformats.org/officeDocument/2006/relationships/hyperlink" Target="https://infos.isidoor.org/wp-content/uploads/Retraite-Accord-1991-sur-relevement-taux-de-cotisation.pdf" TargetMode="External"/><Relationship Id="rId46" Type="http://schemas.openxmlformats.org/officeDocument/2006/relationships/theme" Target="theme/theme1.xml"/><Relationship Id="rId20" Type="http://schemas.openxmlformats.org/officeDocument/2006/relationships/image" Target="media/image1.png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c1853e-7094-4c21-934c-bd200a92d653" xsi:nil="true"/>
    <lcf76f155ced4ddcb4097134ff3c332f xmlns="33422481-206e-461c-af79-3f00dd335c9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2E146DF852B41A3D6FAC3971D3E1E" ma:contentTypeVersion="13" ma:contentTypeDescription="Crée un document." ma:contentTypeScope="" ma:versionID="85f6db4b841199ecff78100261052c8b">
  <xsd:schema xmlns:xsd="http://www.w3.org/2001/XMLSchema" xmlns:xs="http://www.w3.org/2001/XMLSchema" xmlns:p="http://schemas.microsoft.com/office/2006/metadata/properties" xmlns:ns2="33422481-206e-461c-af79-3f00dd335c91" xmlns:ns3="acc1853e-7094-4c21-934c-bd200a92d653" targetNamespace="http://schemas.microsoft.com/office/2006/metadata/properties" ma:root="true" ma:fieldsID="bce2c2f235058bb00231eac14bf03895" ns2:_="" ns3:_="">
    <xsd:import namespace="33422481-206e-461c-af79-3f00dd335c91"/>
    <xsd:import namespace="acc1853e-7094-4c21-934c-bd200a92d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22481-206e-461c-af79-3f00dd335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7819acf9-3f53-4112-8c6d-1653454e0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1853e-7094-4c21-934c-bd200a92d6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cf6ff1b-57bc-48de-8e92-2bb1b6ff7569}" ma:internalName="TaxCatchAll" ma:showField="CatchAllData" ma:web="acc1853e-7094-4c21-934c-bd200a92d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1308F-D74A-4B0C-A5FB-C7C627408CAC}">
  <ds:schemaRefs>
    <ds:schemaRef ds:uri="http://schemas.microsoft.com/office/2006/metadata/properties"/>
    <ds:schemaRef ds:uri="http://schemas.microsoft.com/office/infopath/2007/PartnerControls"/>
    <ds:schemaRef ds:uri="acc1853e-7094-4c21-934c-bd200a92d653"/>
    <ds:schemaRef ds:uri="33422481-206e-461c-af79-3f00dd335c91"/>
  </ds:schemaRefs>
</ds:datastoreItem>
</file>

<file path=customXml/itemProps2.xml><?xml version="1.0" encoding="utf-8"?>
<ds:datastoreItem xmlns:ds="http://schemas.openxmlformats.org/officeDocument/2006/customXml" ds:itemID="{57C93333-FE6F-41D4-89FF-6AAF86CDD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22481-206e-461c-af79-3f00dd335c91"/>
    <ds:schemaRef ds:uri="acc1853e-7094-4c21-934c-bd200a92d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A1859-EA52-4331-BFD6-DD795DE024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1168</Words>
  <Characters>6427</Characters>
  <Application>Microsoft Office Word</Application>
  <DocSecurity>0</DocSecurity>
  <Lines>53</Lines>
  <Paragraphs>15</Paragraphs>
  <ScaleCrop>false</ScaleCrop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Aude Durand</dc:creator>
  <cp:lastModifiedBy>Jean-René LE MEUR</cp:lastModifiedBy>
  <cp:revision>2</cp:revision>
  <dcterms:created xsi:type="dcterms:W3CDTF">2024-09-10T13:21:00Z</dcterms:created>
  <dcterms:modified xsi:type="dcterms:W3CDTF">2024-09-10T13:21:00Z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0x0101005742E146DF852B41A3D6FAC3971D3E1E</vt:lpwstr>
  </property>
  <property fmtid="{D5CDD505-2E9C-101B-9397-08002B2CF9AE}" pid="3" name="MediaServiceImageTags">
    <vt:lpwstr/>
  </property>
</Properties>
</file>